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p>
    <w:p>
      <w:pPr>
        <w:spacing w:line="560" w:lineRule="exact"/>
        <w:rPr>
          <w:lang w:eastAsia="zh-CN"/>
        </w:rPr>
      </w:pP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中国人寿保险（海外）股份有限公司就中国人寿保险（海外）股份有限公司采购</w:t>
      </w:r>
      <w:r>
        <w:rPr>
          <w:rFonts w:hint="eastAsia" w:ascii="仿宋" w:hAnsi="仿宋" w:eastAsia="仿宋" w:cstheme="minorEastAsia"/>
          <w:snapToGrid/>
          <w:kern w:val="2"/>
          <w:sz w:val="32"/>
          <w:szCs w:val="32"/>
          <w:lang w:val="en-US" w:eastAsia="zh-CN"/>
        </w:rPr>
        <w:t>数据治理建设</w:t>
      </w:r>
      <w:r>
        <w:rPr>
          <w:rFonts w:hint="eastAsia" w:ascii="仿宋" w:hAnsi="仿宋" w:eastAsia="仿宋" w:cstheme="minorEastAsia"/>
          <w:snapToGrid/>
          <w:kern w:val="2"/>
          <w:sz w:val="32"/>
          <w:szCs w:val="32"/>
          <w:lang w:eastAsia="zh-CN"/>
        </w:rPr>
        <w:t>项目进行公开招标，请合格投标人提交密封的投标文件。</w:t>
      </w:r>
    </w:p>
    <w:p>
      <w:pPr>
        <w:pStyle w:val="3"/>
        <w:spacing w:before="68" w:line="560" w:lineRule="exact"/>
        <w:ind w:right="6" w:firstLine="640" w:firstLineChars="200"/>
        <w:rPr>
          <w:rFonts w:ascii="仿宋" w:hAnsi="仿宋" w:eastAsia="仿宋" w:cstheme="minorEastAsia"/>
          <w:snapToGrid/>
          <w:kern w:val="2"/>
          <w:sz w:val="32"/>
          <w:szCs w:val="32"/>
          <w:highlight w:val="none"/>
          <w:lang w:eastAsia="zh-CN"/>
        </w:rPr>
      </w:pPr>
      <w:r>
        <w:rPr>
          <w:rFonts w:hint="eastAsia" w:ascii="仿宋" w:hAnsi="仿宋" w:eastAsia="仿宋" w:cstheme="minorEastAsia"/>
          <w:snapToGrid/>
          <w:kern w:val="2"/>
          <w:sz w:val="32"/>
          <w:szCs w:val="32"/>
          <w:highlight w:val="none"/>
          <w:lang w:eastAsia="zh-CN"/>
        </w:rPr>
        <w:t>公告日期：北京时间 202</w:t>
      </w:r>
      <w:r>
        <w:rPr>
          <w:rFonts w:ascii="仿宋" w:hAnsi="仿宋" w:eastAsia="仿宋" w:cstheme="minorEastAsia"/>
          <w:snapToGrid/>
          <w:kern w:val="2"/>
          <w:sz w:val="32"/>
          <w:szCs w:val="32"/>
          <w:highlight w:val="none"/>
          <w:lang w:eastAsia="zh-CN"/>
        </w:rPr>
        <w:t>4</w:t>
      </w:r>
      <w:r>
        <w:rPr>
          <w:rFonts w:hint="eastAsia" w:ascii="仿宋" w:hAnsi="仿宋" w:eastAsia="仿宋" w:cstheme="minorEastAsia"/>
          <w:snapToGrid/>
          <w:kern w:val="2"/>
          <w:sz w:val="32"/>
          <w:szCs w:val="32"/>
          <w:highlight w:val="none"/>
          <w:lang w:eastAsia="zh-CN"/>
        </w:rPr>
        <w:t>年</w:t>
      </w:r>
      <w:r>
        <w:rPr>
          <w:rFonts w:hint="eastAsia" w:ascii="仿宋" w:hAnsi="仿宋" w:eastAsia="仿宋" w:cstheme="minorEastAsia"/>
          <w:snapToGrid/>
          <w:kern w:val="2"/>
          <w:sz w:val="32"/>
          <w:szCs w:val="32"/>
          <w:highlight w:val="none"/>
          <w:lang w:val="en-US" w:eastAsia="zh-CN"/>
        </w:rPr>
        <w:t>9</w:t>
      </w:r>
      <w:r>
        <w:rPr>
          <w:rFonts w:hint="eastAsia" w:ascii="仿宋" w:hAnsi="仿宋" w:eastAsia="仿宋" w:cstheme="minorEastAsia"/>
          <w:snapToGrid/>
          <w:kern w:val="2"/>
          <w:sz w:val="32"/>
          <w:szCs w:val="32"/>
          <w:highlight w:val="none"/>
          <w:lang w:eastAsia="zh-CN"/>
        </w:rPr>
        <w:t>月</w:t>
      </w:r>
      <w:r>
        <w:rPr>
          <w:rFonts w:hint="eastAsia" w:ascii="仿宋" w:hAnsi="仿宋" w:eastAsia="仿宋" w:cstheme="minorEastAsia"/>
          <w:snapToGrid/>
          <w:kern w:val="2"/>
          <w:sz w:val="32"/>
          <w:szCs w:val="32"/>
          <w:highlight w:val="none"/>
          <w:lang w:val="en-US" w:eastAsia="zh-CN"/>
        </w:rPr>
        <w:t>9</w:t>
      </w:r>
      <w:bookmarkStart w:id="3" w:name="_GoBack"/>
      <w:bookmarkEnd w:id="3"/>
      <w:r>
        <w:rPr>
          <w:rFonts w:hint="eastAsia" w:ascii="仿宋" w:hAnsi="仿宋" w:eastAsia="仿宋" w:cstheme="minorEastAsia"/>
          <w:snapToGrid/>
          <w:kern w:val="2"/>
          <w:sz w:val="32"/>
          <w:szCs w:val="32"/>
          <w:highlight w:val="none"/>
          <w:lang w:eastAsia="zh-CN"/>
        </w:rPr>
        <w:t>日</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一、项目名称：</w:t>
      </w:r>
      <w:r>
        <w:rPr>
          <w:rFonts w:hint="eastAsia" w:ascii="仿宋" w:hAnsi="仿宋" w:eastAsia="仿宋" w:cstheme="minorEastAsia"/>
          <w:snapToGrid/>
          <w:kern w:val="2"/>
          <w:sz w:val="32"/>
          <w:szCs w:val="32"/>
          <w:lang w:eastAsia="zh-CN"/>
        </w:rPr>
        <w:t>采购</w:t>
      </w:r>
      <w:r>
        <w:rPr>
          <w:rFonts w:hint="eastAsia" w:ascii="仿宋" w:hAnsi="仿宋" w:eastAsia="仿宋" w:cstheme="minorEastAsia"/>
          <w:snapToGrid/>
          <w:kern w:val="2"/>
          <w:sz w:val="32"/>
          <w:szCs w:val="32"/>
          <w:lang w:val="en-US" w:eastAsia="zh-CN"/>
        </w:rPr>
        <w:t>数据治理建设</w:t>
      </w:r>
      <w:r>
        <w:rPr>
          <w:rFonts w:hint="eastAsia" w:ascii="仿宋" w:hAnsi="仿宋" w:eastAsia="仿宋" w:cstheme="minorEastAsia"/>
          <w:snapToGrid/>
          <w:kern w:val="2"/>
          <w:sz w:val="32"/>
          <w:szCs w:val="32"/>
          <w:lang w:eastAsia="zh-CN"/>
        </w:rPr>
        <w:t>项目</w:t>
      </w:r>
    </w:p>
    <w:p>
      <w:pPr>
        <w:pStyle w:val="3"/>
        <w:spacing w:before="68" w:line="560" w:lineRule="exact"/>
        <w:ind w:right="6" w:firstLine="320" w:firstLineChars="100"/>
        <w:outlineLvl w:val="0"/>
        <w:rPr>
          <w:rFonts w:hint="eastAsia" w:ascii="仿宋" w:hAnsi="仿宋" w:eastAsia="仿宋" w:cstheme="minorEastAsia"/>
          <w:snapToGrid/>
          <w:kern w:val="2"/>
          <w:sz w:val="32"/>
          <w:szCs w:val="32"/>
          <w:lang w:val="en-US" w:eastAsia="zh-CN"/>
        </w:rPr>
      </w:pPr>
      <w:r>
        <w:rPr>
          <w:rFonts w:hint="eastAsia" w:ascii="黑体" w:hAnsi="黑体" w:eastAsia="黑体" w:cs="黑体"/>
          <w:snapToGrid/>
          <w:kern w:val="2"/>
          <w:sz w:val="32"/>
          <w:szCs w:val="32"/>
          <w:highlight w:val="none"/>
          <w:lang w:eastAsia="zh-CN"/>
        </w:rPr>
        <w:t>二、项目编号：</w:t>
      </w:r>
      <w:r>
        <w:rPr>
          <w:rFonts w:hint="eastAsia" w:ascii="仿宋" w:hAnsi="仿宋" w:eastAsia="仿宋" w:cstheme="minorEastAsia"/>
          <w:snapToGrid/>
          <w:kern w:val="2"/>
          <w:sz w:val="32"/>
          <w:szCs w:val="32"/>
          <w:lang w:val="en-US" w:eastAsia="zh-CN"/>
        </w:rPr>
        <w:t>SZ_QB_202407250001</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三、招标内容：</w:t>
      </w:r>
    </w:p>
    <w:p>
      <w:pPr>
        <w:pStyle w:val="3"/>
        <w:spacing w:before="68" w:line="560" w:lineRule="exact"/>
        <w:ind w:right="7" w:firstLine="640"/>
        <w:outlineLvl w:val="1"/>
        <w:rPr>
          <w:rFonts w:hint="eastAsia"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．本项目共为</w:t>
      </w:r>
      <w:r>
        <w:rPr>
          <w:rFonts w:ascii="仿宋" w:hAnsi="仿宋" w:eastAsia="仿宋" w:cs="仿宋"/>
          <w:snapToGrid/>
          <w:kern w:val="2"/>
          <w:sz w:val="32"/>
          <w:szCs w:val="32"/>
          <w:lang w:eastAsia="zh-CN"/>
        </w:rPr>
        <w:t xml:space="preserve"> 1 </w:t>
      </w:r>
      <w:r>
        <w:rPr>
          <w:rFonts w:hint="eastAsia" w:ascii="仿宋" w:hAnsi="仿宋" w:eastAsia="仿宋" w:cs="仿宋"/>
          <w:snapToGrid/>
          <w:kern w:val="2"/>
          <w:sz w:val="32"/>
          <w:szCs w:val="32"/>
          <w:lang w:eastAsia="zh-CN"/>
        </w:rPr>
        <w:t>包</w:t>
      </w:r>
      <w:r>
        <w:rPr>
          <w:rFonts w:ascii="仿宋" w:hAnsi="仿宋" w:eastAsia="仿宋" w:cs="仿宋"/>
          <w:snapToGrid/>
          <w:kern w:val="2"/>
          <w:sz w:val="32"/>
          <w:szCs w:val="32"/>
          <w:lang w:eastAsia="zh-CN"/>
        </w:rPr>
        <w:t>,</w:t>
      </w:r>
      <w:r>
        <w:rPr>
          <w:rFonts w:hint="eastAsia" w:ascii="仿宋" w:hAnsi="仿宋" w:eastAsia="仿宋" w:cs="仿宋"/>
          <w:snapToGrid/>
          <w:kern w:val="2"/>
          <w:sz w:val="32"/>
          <w:szCs w:val="32"/>
          <w:lang w:eastAsia="zh-CN"/>
        </w:rPr>
        <w:t>相关采购需求如下：</w:t>
      </w:r>
    </w:p>
    <w:p>
      <w:pPr>
        <w:pStyle w:val="3"/>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基于海外公司OneData项目群2024年的建设计划，实施数据治理建设项目服务，完成包括完善并落地数据治理制度体系、数据模型管理项目、数据质量质检引擎项目等实施落地相关工作，并将数据管理流程落地推广。相关技术指标详见附件1：《招标清单及技术指标》。</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．中选数量：</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如有效合格投标人数不足</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家的，按废标处理；</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有效合格投标人数</w:t>
      </w:r>
      <w:r>
        <w:rPr>
          <w:rFonts w:ascii="仿宋" w:hAnsi="仿宋" w:eastAsia="仿宋" w:cs="仿宋"/>
          <w:snapToGrid/>
          <w:kern w:val="2"/>
          <w:sz w:val="32"/>
          <w:szCs w:val="32"/>
          <w:lang w:eastAsia="zh-CN"/>
        </w:rPr>
        <w:t xml:space="preserve"> 3 </w:t>
      </w:r>
      <w:r>
        <w:rPr>
          <w:rFonts w:hint="eastAsia" w:ascii="仿宋" w:hAnsi="仿宋" w:eastAsia="仿宋" w:cs="仿宋"/>
          <w:snapToGrid/>
          <w:kern w:val="2"/>
          <w:sz w:val="32"/>
          <w:szCs w:val="32"/>
          <w:lang w:eastAsia="zh-CN"/>
        </w:rPr>
        <w:t>家（含）以上的，中标人数量：</w:t>
      </w: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名。</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．服务期限：</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 xml:space="preserve"> </w:t>
      </w:r>
    </w:p>
    <w:p>
      <w:pPr>
        <w:pStyle w:val="3"/>
        <w:spacing w:before="68" w:line="560" w:lineRule="exact"/>
        <w:ind w:right="7" w:firstLine="640"/>
        <w:outlineLvl w:val="1"/>
        <w:rPr>
          <w:rFonts w:ascii="仿宋" w:hAnsi="仿宋" w:eastAsia="仿宋" w:cs="仿宋"/>
          <w:snapToGrid/>
          <w:color w:val="auto"/>
          <w:kern w:val="2"/>
          <w:sz w:val="32"/>
          <w:szCs w:val="32"/>
          <w:highlight w:val="none"/>
          <w:lang w:eastAsia="zh-CN"/>
        </w:rPr>
      </w:pPr>
      <w:r>
        <w:rPr>
          <w:rFonts w:ascii="仿宋" w:hAnsi="仿宋" w:eastAsia="仿宋" w:cs="仿宋"/>
          <w:snapToGrid/>
          <w:color w:val="auto"/>
          <w:kern w:val="2"/>
          <w:sz w:val="32"/>
          <w:szCs w:val="32"/>
          <w:highlight w:val="none"/>
          <w:lang w:eastAsia="zh-CN"/>
        </w:rPr>
        <w:t xml:space="preserve">4. </w:t>
      </w:r>
      <w:r>
        <w:rPr>
          <w:rFonts w:hint="eastAsia" w:ascii="仿宋" w:hAnsi="仿宋" w:eastAsia="仿宋" w:cs="仿宋"/>
          <w:snapToGrid/>
          <w:color w:val="auto"/>
          <w:kern w:val="2"/>
          <w:sz w:val="32"/>
          <w:szCs w:val="32"/>
          <w:highlight w:val="none"/>
          <w:lang w:eastAsia="zh-CN"/>
        </w:rPr>
        <w:t>最高</w:t>
      </w:r>
      <w:r>
        <w:rPr>
          <w:rFonts w:hint="eastAsia" w:ascii="仿宋" w:hAnsi="仿宋" w:eastAsia="仿宋" w:cs="仿宋"/>
          <w:snapToGrid/>
          <w:color w:val="auto"/>
          <w:kern w:val="2"/>
          <w:sz w:val="32"/>
          <w:szCs w:val="32"/>
          <w:highlight w:val="none"/>
          <w:lang w:val="en-US" w:eastAsia="zh-CN"/>
        </w:rPr>
        <w:t>限</w:t>
      </w:r>
      <w:r>
        <w:rPr>
          <w:rFonts w:hint="eastAsia" w:ascii="仿宋" w:hAnsi="仿宋" w:eastAsia="仿宋" w:cs="仿宋"/>
          <w:snapToGrid/>
          <w:color w:val="auto"/>
          <w:kern w:val="2"/>
          <w:sz w:val="32"/>
          <w:szCs w:val="32"/>
          <w:highlight w:val="none"/>
          <w:lang w:eastAsia="zh-CN"/>
        </w:rPr>
        <w:t>价：</w:t>
      </w:r>
      <w:r>
        <w:rPr>
          <w:rFonts w:hint="eastAsia" w:ascii="仿宋" w:hAnsi="仿宋" w:eastAsia="仿宋" w:cs="仿宋"/>
          <w:snapToGrid/>
          <w:color w:val="auto"/>
          <w:kern w:val="2"/>
          <w:sz w:val="32"/>
          <w:szCs w:val="32"/>
          <w:highlight w:val="none"/>
          <w:lang w:val="en-US" w:eastAsia="zh-CN"/>
        </w:rPr>
        <w:t>79</w:t>
      </w:r>
      <w:r>
        <w:rPr>
          <w:rFonts w:hint="eastAsia" w:ascii="仿宋" w:hAnsi="仿宋" w:eastAsia="仿宋" w:cs="仿宋"/>
          <w:snapToGrid/>
          <w:color w:val="auto"/>
          <w:kern w:val="2"/>
          <w:sz w:val="32"/>
          <w:szCs w:val="32"/>
          <w:highlight w:val="none"/>
          <w:lang w:eastAsia="zh-CN"/>
        </w:rPr>
        <w:t>万人民币</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四、合格投标人必须符合以下条件，否则招标人有权拒绝投标人的投标</w:t>
      </w:r>
    </w:p>
    <w:p>
      <w:pPr>
        <w:pStyle w:val="3"/>
        <w:spacing w:before="68" w:line="560" w:lineRule="exact"/>
        <w:ind w:right="7"/>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本项目合格的投标人应具备以下条件：</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具有独立承担民事责任能力的在中华人民共和国境内注册的法人或其他组织；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具有良好的商业信誉和健全的财务会计制度；</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具有履行合同所必需的服务和专业能力；</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具有依法缴纳税收和社会保障资金的良好记录；</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单位负责人为同一人或者存在控股、管理关系的不同单位，不得参加同一标段投标或者未划分标段的同一招标项目投标；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val="en-US" w:eastAsia="zh-CN"/>
        </w:rPr>
        <w:t>参与本项目前三年内，无行贿犯罪记录，在经营活动中没有重大违法记录，不存在处于被相关主管部门处以禁止参与政府采购活动期限内的情形</w:t>
      </w:r>
      <w:r>
        <w:rPr>
          <w:rFonts w:hint="eastAsia" w:ascii="仿宋" w:hAnsi="仿宋" w:eastAsia="仿宋" w:cs="仿宋"/>
          <w:snapToGrid/>
          <w:kern w:val="2"/>
          <w:sz w:val="32"/>
          <w:szCs w:val="32"/>
          <w:lang w:eastAsia="zh-CN"/>
        </w:rPr>
        <w:t>；</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不接受联合体投标，不允许转包、分包；</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default" w:ascii="仿宋" w:hAnsi="仿宋" w:eastAsia="仿宋" w:cs="仿宋"/>
          <w:snapToGrid/>
          <w:kern w:val="2"/>
          <w:sz w:val="32"/>
          <w:szCs w:val="32"/>
          <w:lang w:eastAsia="zh-CN"/>
        </w:rPr>
        <w:t>投标人</w:t>
      </w:r>
      <w:r>
        <w:rPr>
          <w:rFonts w:hint="eastAsia" w:ascii="仿宋" w:hAnsi="仿宋" w:eastAsia="仿宋" w:cs="仿宋"/>
          <w:snapToGrid/>
          <w:kern w:val="2"/>
          <w:sz w:val="32"/>
          <w:szCs w:val="32"/>
          <w:lang w:val="en-US" w:eastAsia="zh-CN"/>
        </w:rPr>
        <w:t>按要求</w:t>
      </w:r>
      <w:r>
        <w:rPr>
          <w:rFonts w:hint="default" w:ascii="仿宋" w:hAnsi="仿宋" w:eastAsia="仿宋" w:cs="仿宋"/>
          <w:snapToGrid/>
          <w:kern w:val="2"/>
          <w:sz w:val="32"/>
          <w:szCs w:val="32"/>
          <w:lang w:eastAsia="zh-CN"/>
        </w:rPr>
        <w:t>提供两个以上（含两个）</w:t>
      </w:r>
      <w:r>
        <w:rPr>
          <w:rFonts w:hint="eastAsia" w:ascii="仿宋" w:hAnsi="仿宋" w:eastAsia="仿宋" w:cs="仿宋"/>
          <w:snapToGrid/>
          <w:kern w:val="2"/>
          <w:sz w:val="32"/>
          <w:szCs w:val="32"/>
          <w:lang w:val="en-US" w:eastAsia="zh-CN"/>
        </w:rPr>
        <w:t>数据治理</w:t>
      </w:r>
      <w:r>
        <w:rPr>
          <w:rFonts w:hint="default" w:ascii="仿宋" w:hAnsi="仿宋" w:eastAsia="仿宋" w:cs="仿宋"/>
          <w:snapToGrid/>
          <w:kern w:val="2"/>
          <w:sz w:val="32"/>
          <w:szCs w:val="32"/>
          <w:lang w:eastAsia="zh-CN"/>
        </w:rPr>
        <w:t>行业标准的证书</w:t>
      </w:r>
      <w:r>
        <w:rPr>
          <w:rFonts w:hint="eastAsia" w:ascii="仿宋" w:hAnsi="仿宋" w:eastAsia="仿宋" w:cs="仿宋"/>
          <w:snapToGrid/>
          <w:kern w:val="2"/>
          <w:sz w:val="32"/>
          <w:szCs w:val="32"/>
          <w:lang w:val="en-US" w:eastAsia="zh-CN"/>
        </w:rPr>
        <w:t>扫描件</w:t>
      </w:r>
      <w:r>
        <w:rPr>
          <w:rFonts w:hint="default" w:ascii="仿宋" w:hAnsi="仿宋" w:eastAsia="仿宋" w:cs="仿宋"/>
          <w:snapToGrid/>
          <w:kern w:val="2"/>
          <w:sz w:val="32"/>
          <w:szCs w:val="32"/>
          <w:lang w:eastAsia="zh-CN"/>
        </w:rPr>
        <w:t>。</w:t>
      </w:r>
    </w:p>
    <w:p>
      <w:pPr>
        <w:pStyle w:val="3"/>
        <w:numPr>
          <w:ilvl w:val="0"/>
          <w:numId w:val="2"/>
        </w:numPr>
        <w:spacing w:before="68" w:line="560" w:lineRule="exact"/>
        <w:ind w:right="6"/>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 供应商报名及招标文件领取</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报名时间：</w:t>
      </w:r>
      <w:bookmarkStart w:id="0" w:name="OLE_LINK1"/>
      <w:r>
        <w:rPr>
          <w:rFonts w:hint="eastAsia" w:ascii="仿宋" w:hAnsi="仿宋" w:eastAsia="仿宋" w:cs="仿宋"/>
          <w:snapToGrid/>
          <w:kern w:val="2"/>
          <w:sz w:val="32"/>
          <w:szCs w:val="32"/>
          <w:lang w:eastAsia="zh-CN"/>
        </w:rPr>
        <w:t>招标公告发布后</w:t>
      </w:r>
      <w:r>
        <w:rPr>
          <w:rFonts w:hint="eastAsia" w:ascii="仿宋" w:hAnsi="仿宋" w:eastAsia="仿宋" w:cs="仿宋"/>
          <w:snapToGrid/>
          <w:kern w:val="2"/>
          <w:sz w:val="36"/>
          <w:szCs w:val="36"/>
          <w:lang w:eastAsia="zh-CN"/>
        </w:rPr>
        <w:t>5</w:t>
      </w:r>
      <w:r>
        <w:rPr>
          <w:rFonts w:hint="eastAsia" w:ascii="仿宋" w:hAnsi="仿宋" w:eastAsia="仿宋" w:cs="仿宋"/>
          <w:snapToGrid/>
          <w:kern w:val="2"/>
          <w:sz w:val="32"/>
          <w:szCs w:val="32"/>
          <w:lang w:eastAsia="zh-CN"/>
        </w:rPr>
        <w:t>个工作日内</w:t>
      </w:r>
      <w:bookmarkEnd w:id="0"/>
      <w:r>
        <w:rPr>
          <w:rFonts w:hint="eastAsia" w:ascii="仿宋" w:hAnsi="仿宋" w:eastAsia="仿宋" w:cs="仿宋"/>
          <w:snapToGrid/>
          <w:kern w:val="2"/>
          <w:sz w:val="32"/>
          <w:szCs w:val="32"/>
          <w:lang w:eastAsia="zh-CN"/>
        </w:rPr>
        <w:t>。</w:t>
      </w:r>
    </w:p>
    <w:p>
      <w:pPr>
        <w:spacing w:line="380" w:lineRule="exact"/>
        <w:rPr>
          <w:rFonts w:hint="eastAsia"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(北京时间2024年</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日9:00至2024年</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13</w:t>
      </w:r>
      <w:r>
        <w:rPr>
          <w:rFonts w:hint="eastAsia" w:ascii="仿宋" w:hAnsi="仿宋" w:eastAsia="仿宋" w:cs="仿宋"/>
          <w:snapToGrid/>
          <w:kern w:val="2"/>
          <w:sz w:val="32"/>
          <w:szCs w:val="32"/>
          <w:highlight w:val="none"/>
          <w:lang w:eastAsia="zh-CN"/>
        </w:rPr>
        <w:t>日18:00)</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报名参与招标人采购项目的供应商应通过电子邮箱向招标人递交有效的供应商报名申请材料，免费领取本项目招标文件。招标人收到报名电子材料后，通过电子邮箱发送招标文件。</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报名申请材料如下：</w:t>
      </w:r>
    </w:p>
    <w:p>
      <w:pPr>
        <w:pStyle w:val="3"/>
        <w:numPr>
          <w:ilvl w:val="0"/>
          <w:numId w:val="4"/>
        </w:numPr>
        <w:spacing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招标文件</w:t>
      </w:r>
      <w:r>
        <w:rPr>
          <w:rFonts w:hint="eastAsia" w:ascii="仿宋" w:hAnsi="仿宋" w:eastAsia="仿宋" w:cstheme="minorEastAsia"/>
          <w:snapToGrid/>
          <w:kern w:val="2"/>
          <w:sz w:val="32"/>
          <w:szCs w:val="32"/>
          <w:lang w:eastAsia="zh-CN"/>
        </w:rPr>
        <w:t>领取登记表</w:t>
      </w:r>
      <w:bookmarkStart w:id="1" w:name="OLE_LINK2"/>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bookmarkEnd w:id="1"/>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保密协议书</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加盖公章。</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投标人营业执照</w:t>
      </w:r>
      <w:r>
        <w:rPr>
          <w:rFonts w:hint="eastAsia" w:ascii="仿宋" w:hAnsi="仿宋" w:eastAsia="仿宋" w:cstheme="minorEastAsia"/>
          <w:snapToGrid/>
          <w:kern w:val="2"/>
          <w:sz w:val="32"/>
          <w:szCs w:val="32"/>
          <w:lang w:eastAsia="zh-CN"/>
        </w:rPr>
        <w:t>副本</w:t>
      </w:r>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 xml:space="preserve">投标人法定代表人授权书签字并加盖公章（格式自拟）。 </w:t>
      </w:r>
    </w:p>
    <w:p>
      <w:pPr>
        <w:pStyle w:val="3"/>
        <w:spacing w:before="68" w:line="560" w:lineRule="exact"/>
        <w:ind w:right="7" w:firstLine="640" w:firstLineChars="200"/>
        <w:outlineLvl w:val="3"/>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以上材料均以 pdf 彩色扫描件提供。</w:t>
      </w:r>
    </w:p>
    <w:p>
      <w:pPr>
        <w:pStyle w:val="3"/>
        <w:spacing w:before="68" w:line="560" w:lineRule="exact"/>
        <w:ind w:right="6" w:firstLine="320" w:firstLineChars="100"/>
        <w:outlineLvl w:val="0"/>
        <w:rPr>
          <w:rFonts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六、 提问截止时间和答复时间</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各投标人对招标文件有疑义的，应当向招标人发送邮件一次性提出问题。</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提问截止时间为北京时间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20</w:t>
      </w:r>
      <w:r>
        <w:rPr>
          <w:rFonts w:hint="eastAsia" w:ascii="仿宋" w:hAnsi="仿宋" w:eastAsia="仿宋" w:cs="仿宋"/>
          <w:snapToGrid/>
          <w:kern w:val="2"/>
          <w:sz w:val="32"/>
          <w:szCs w:val="32"/>
          <w:highlight w:val="none"/>
          <w:lang w:eastAsia="zh-CN"/>
        </w:rPr>
        <w:t>日</w:t>
      </w:r>
      <w:bookmarkStart w:id="2" w:name="OLE_LINK3"/>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w:t>
      </w:r>
      <w:bookmarkEnd w:id="2"/>
      <w:r>
        <w:rPr>
          <w:rFonts w:hint="eastAsia" w:ascii="仿宋" w:hAnsi="仿宋" w:eastAsia="仿宋" w:cs="仿宋"/>
          <w:snapToGrid/>
          <w:kern w:val="2"/>
          <w:sz w:val="32"/>
          <w:szCs w:val="32"/>
          <w:highlight w:val="none"/>
          <w:lang w:eastAsia="zh-CN"/>
        </w:rPr>
        <w:t>。</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答复截止时间为北京时间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 xml:space="preserve">9 </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 xml:space="preserve"> 23</w:t>
      </w:r>
      <w:r>
        <w:rPr>
          <w:rFonts w:hint="eastAsia" w:ascii="仿宋" w:hAnsi="仿宋" w:eastAsia="仿宋" w:cs="仿宋"/>
          <w:snapToGrid/>
          <w:kern w:val="2"/>
          <w:sz w:val="32"/>
          <w:szCs w:val="32"/>
          <w:highlight w:val="none"/>
          <w:lang w:eastAsia="zh-CN"/>
        </w:rPr>
        <w:t>日</w:t>
      </w:r>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:00，通过邮件统一回复。</w:t>
      </w:r>
    </w:p>
    <w:p>
      <w:pPr>
        <w:pStyle w:val="3"/>
        <w:spacing w:before="68" w:line="560" w:lineRule="exact"/>
        <w:ind w:right="6" w:firstLine="320" w:firstLineChars="100"/>
        <w:outlineLvl w:val="0"/>
        <w:rPr>
          <w:rFonts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七、投标截止时间和开标时间：</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投标截至时间：北京时间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 xml:space="preserve">9 </w:t>
      </w:r>
      <w:r>
        <w:rPr>
          <w:rFonts w:hint="eastAsia" w:ascii="仿宋" w:hAnsi="仿宋" w:eastAsia="仿宋" w:cs="仿宋"/>
          <w:snapToGrid/>
          <w:kern w:val="2"/>
          <w:sz w:val="32"/>
          <w:szCs w:val="32"/>
          <w:highlight w:val="none"/>
          <w:lang w:eastAsia="zh-CN"/>
        </w:rPr>
        <w:t xml:space="preserve">月 </w:t>
      </w:r>
      <w:r>
        <w:rPr>
          <w:rFonts w:hint="eastAsia" w:ascii="仿宋" w:hAnsi="仿宋" w:eastAsia="仿宋" w:cs="仿宋"/>
          <w:snapToGrid/>
          <w:kern w:val="2"/>
          <w:sz w:val="32"/>
          <w:szCs w:val="32"/>
          <w:highlight w:val="none"/>
          <w:lang w:val="en-US" w:eastAsia="zh-CN"/>
        </w:rPr>
        <w:t>25</w:t>
      </w:r>
      <w:r>
        <w:rPr>
          <w:rFonts w:hint="eastAsia" w:ascii="仿宋" w:hAnsi="仿宋" w:eastAsia="仿宋" w:cs="仿宋"/>
          <w:snapToGrid/>
          <w:kern w:val="2"/>
          <w:sz w:val="32"/>
          <w:szCs w:val="32"/>
          <w:highlight w:val="none"/>
          <w:lang w:eastAsia="zh-CN"/>
        </w:rPr>
        <w:t>日</w:t>
      </w:r>
      <w:r>
        <w:rPr>
          <w:rFonts w:hint="eastAsia" w:ascii="仿宋" w:hAnsi="仿宋" w:eastAsia="仿宋" w:cs="仿宋"/>
          <w:snapToGrid/>
          <w:kern w:val="2"/>
          <w:sz w:val="32"/>
          <w:szCs w:val="32"/>
          <w:highlight w:val="none"/>
          <w:lang w:val="en-US" w:eastAsia="zh-CN"/>
        </w:rPr>
        <w:t>14</w:t>
      </w:r>
      <w:r>
        <w:rPr>
          <w:rFonts w:hint="eastAsia" w:ascii="仿宋" w:hAnsi="仿宋" w:eastAsia="仿宋" w:cs="仿宋"/>
          <w:snapToGrid/>
          <w:kern w:val="2"/>
          <w:sz w:val="32"/>
          <w:szCs w:val="32"/>
          <w:highlight w:val="none"/>
          <w:lang w:eastAsia="zh-CN"/>
        </w:rPr>
        <w:t>:</w:t>
      </w:r>
      <w:r>
        <w:rPr>
          <w:rFonts w:hint="eastAsia" w:ascii="仿宋" w:hAnsi="仿宋" w:eastAsia="仿宋" w:cs="仿宋"/>
          <w:snapToGrid/>
          <w:kern w:val="2"/>
          <w:sz w:val="32"/>
          <w:szCs w:val="32"/>
          <w:highlight w:val="none"/>
          <w:lang w:val="en-US" w:eastAsia="zh-CN"/>
        </w:rPr>
        <w:t>00</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 xml:space="preserve">开 标 时 间: </w:t>
      </w:r>
      <w:r>
        <w:rPr>
          <w:rFonts w:ascii="仿宋" w:hAnsi="仿宋" w:eastAsia="仿宋" w:cs="仿宋"/>
          <w:snapToGrid/>
          <w:kern w:val="2"/>
          <w:sz w:val="32"/>
          <w:szCs w:val="32"/>
          <w:highlight w:val="none"/>
          <w:lang w:eastAsia="zh-CN"/>
        </w:rPr>
        <w:t xml:space="preserve"> </w:t>
      </w:r>
      <w:r>
        <w:rPr>
          <w:rFonts w:hint="eastAsia" w:ascii="仿宋" w:hAnsi="仿宋" w:eastAsia="仿宋" w:cs="仿宋"/>
          <w:snapToGrid/>
          <w:kern w:val="2"/>
          <w:sz w:val="32"/>
          <w:szCs w:val="32"/>
          <w:highlight w:val="none"/>
          <w:lang w:eastAsia="zh-CN"/>
        </w:rPr>
        <w:t>北京时间 202</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 xml:space="preserve">9 </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 xml:space="preserve"> 25</w:t>
      </w:r>
      <w:r>
        <w:rPr>
          <w:rFonts w:hint="eastAsia" w:ascii="仿宋" w:hAnsi="仿宋" w:eastAsia="仿宋" w:cs="仿宋"/>
          <w:snapToGrid/>
          <w:kern w:val="2"/>
          <w:sz w:val="32"/>
          <w:szCs w:val="32"/>
          <w:highlight w:val="none"/>
          <w:lang w:eastAsia="zh-CN"/>
        </w:rPr>
        <w:t>日</w:t>
      </w:r>
      <w:r>
        <w:rPr>
          <w:rFonts w:hint="eastAsia" w:ascii="仿宋" w:hAnsi="仿宋" w:eastAsia="仿宋" w:cs="仿宋"/>
          <w:snapToGrid/>
          <w:kern w:val="2"/>
          <w:sz w:val="32"/>
          <w:szCs w:val="32"/>
          <w:highlight w:val="none"/>
          <w:lang w:val="en-US" w:eastAsia="zh-CN"/>
        </w:rPr>
        <w:t>14</w:t>
      </w:r>
      <w:r>
        <w:rPr>
          <w:rFonts w:hint="eastAsia" w:ascii="仿宋" w:hAnsi="仿宋" w:eastAsia="仿宋" w:cs="仿宋"/>
          <w:snapToGrid/>
          <w:kern w:val="2"/>
          <w:sz w:val="32"/>
          <w:szCs w:val="32"/>
          <w:highlight w:val="none"/>
          <w:lang w:eastAsia="zh-CN"/>
        </w:rPr>
        <w:t>:</w:t>
      </w:r>
      <w:r>
        <w:rPr>
          <w:rFonts w:hint="eastAsia" w:ascii="仿宋" w:hAnsi="仿宋" w:eastAsia="仿宋" w:cs="仿宋"/>
          <w:snapToGrid/>
          <w:kern w:val="2"/>
          <w:sz w:val="32"/>
          <w:szCs w:val="32"/>
          <w:highlight w:val="none"/>
          <w:lang w:val="en-US" w:eastAsia="zh-CN"/>
        </w:rPr>
        <w:t>00</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八、投标地点和开标地点：</w:t>
      </w:r>
    </w:p>
    <w:p>
      <w:pPr>
        <w:pStyle w:val="3"/>
        <w:spacing w:before="68" w:line="560" w:lineRule="exact"/>
        <w:ind w:right="6" w:firstLine="640" w:firstLineChars="20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广东省深圳市福田区福田路24号海岸环庆大厦</w:t>
      </w:r>
      <w:r>
        <w:rPr>
          <w:rFonts w:hint="eastAsia" w:ascii="仿宋" w:hAnsi="仿宋" w:eastAsia="仿宋" w:cs="仿宋"/>
          <w:snapToGrid/>
          <w:kern w:val="2"/>
          <w:sz w:val="32"/>
          <w:szCs w:val="32"/>
          <w:lang w:val="en-US" w:eastAsia="zh-CN"/>
        </w:rPr>
        <w:t>42</w:t>
      </w:r>
      <w:r>
        <w:rPr>
          <w:rFonts w:hint="eastAsia" w:ascii="仿宋" w:hAnsi="仿宋" w:eastAsia="仿宋" w:cs="仿宋"/>
          <w:snapToGrid/>
          <w:kern w:val="2"/>
          <w:sz w:val="32"/>
          <w:szCs w:val="32"/>
          <w:lang w:eastAsia="zh-CN"/>
        </w:rPr>
        <w:t>楼</w:t>
      </w:r>
      <w:r>
        <w:rPr>
          <w:rFonts w:hint="eastAsia" w:ascii="仿宋" w:hAnsi="仿宋" w:eastAsia="仿宋" w:cs="仿宋"/>
          <w:snapToGrid/>
          <w:kern w:val="2"/>
          <w:sz w:val="32"/>
          <w:szCs w:val="32"/>
          <w:lang w:val="en-US" w:eastAsia="zh-CN"/>
        </w:rPr>
        <w:t>4201</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九、招标人联系方式：</w:t>
      </w:r>
    </w:p>
    <w:p>
      <w:pPr>
        <w:pStyle w:val="3"/>
        <w:spacing w:before="68" w:line="560" w:lineRule="exact"/>
        <w:ind w:right="7" w:firstLine="640" w:firstLineChars="20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 xml:space="preserve">联 系 人： </w:t>
      </w:r>
      <w:r>
        <w:rPr>
          <w:rFonts w:hint="eastAsia" w:ascii="仿宋" w:hAnsi="仿宋" w:eastAsia="仿宋" w:cs="仿宋"/>
          <w:snapToGrid/>
          <w:kern w:val="2"/>
          <w:sz w:val="32"/>
          <w:szCs w:val="32"/>
          <w:lang w:val="en-US" w:eastAsia="zh-CN"/>
        </w:rPr>
        <w:t>余伟军</w:t>
      </w:r>
    </w:p>
    <w:p>
      <w:pPr>
        <w:pStyle w:val="3"/>
        <w:spacing w:before="68" w:line="560" w:lineRule="exact"/>
        <w:ind w:right="7" w:firstLine="640" w:firstLineChars="200"/>
        <w:outlineLvl w:val="0"/>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电    话： </w:t>
      </w:r>
      <w:r>
        <w:rPr>
          <w:rFonts w:ascii="仿宋" w:hAnsi="仿宋" w:eastAsia="仿宋" w:cs="仿宋"/>
          <w:snapToGrid/>
          <w:kern w:val="2"/>
          <w:sz w:val="32"/>
          <w:szCs w:val="32"/>
          <w:lang w:eastAsia="zh-CN"/>
        </w:rPr>
        <w:t>0755</w:t>
      </w:r>
      <w:r>
        <w:rPr>
          <w:rFonts w:hint="eastAsia" w:ascii="仿宋" w:hAnsi="仿宋" w:eastAsia="仿宋" w:cs="仿宋"/>
          <w:snapToGrid/>
          <w:kern w:val="2"/>
          <w:sz w:val="32"/>
          <w:szCs w:val="32"/>
          <w:lang w:eastAsia="zh-CN"/>
        </w:rPr>
        <w:t>-</w:t>
      </w:r>
      <w:r>
        <w:rPr>
          <w:rFonts w:hint="eastAsia" w:ascii="仿宋" w:hAnsi="仿宋" w:eastAsia="仿宋" w:cs="仿宋"/>
          <w:snapToGrid/>
          <w:kern w:val="2"/>
          <w:sz w:val="32"/>
          <w:szCs w:val="32"/>
          <w:lang w:val="en-US" w:eastAsia="zh-CN"/>
        </w:rPr>
        <w:t>36838314</w:t>
      </w:r>
    </w:p>
    <w:p>
      <w:pPr>
        <w:pStyle w:val="3"/>
        <w:spacing w:before="68" w:line="560" w:lineRule="exact"/>
        <w:ind w:right="7" w:firstLine="640" w:firstLineChars="200"/>
        <w:outlineLvl w:val="0"/>
        <w:rPr>
          <w:rFonts w:hint="eastAsia"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 xml:space="preserve">邮    箱： </w:t>
      </w:r>
      <w:r>
        <w:rPr>
          <w:rFonts w:hint="eastAsia" w:ascii="仿宋" w:hAnsi="仿宋" w:eastAsia="仿宋" w:cs="仿宋"/>
          <w:snapToGrid/>
          <w:kern w:val="2"/>
          <w:sz w:val="32"/>
          <w:szCs w:val="32"/>
          <w:lang w:val="en-US" w:eastAsia="zh-CN"/>
        </w:rPr>
        <w:t>yuweijun@chinalife.com.hk</w:t>
      </w:r>
    </w:p>
    <w:p>
      <w:pPr>
        <w:pStyle w:val="3"/>
        <w:spacing w:before="68" w:line="560" w:lineRule="exact"/>
        <w:ind w:right="7" w:firstLine="640" w:firstLineChars="20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地    址： 广东省深圳市福田区福田路24号海岸环庆大厦</w:t>
      </w:r>
      <w:r>
        <w:rPr>
          <w:rFonts w:hint="eastAsia" w:ascii="仿宋" w:hAnsi="仿宋" w:eastAsia="仿宋" w:cs="仿宋"/>
          <w:snapToGrid/>
          <w:kern w:val="2"/>
          <w:sz w:val="32"/>
          <w:szCs w:val="32"/>
          <w:lang w:val="en-US" w:eastAsia="zh-CN"/>
        </w:rPr>
        <w:t>43楼</w:t>
      </w:r>
    </w:p>
    <w:sectPr>
      <w:pgSz w:w="11907" w:h="16839"/>
      <w:pgMar w:top="1431" w:right="1262" w:bottom="112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singleLevel"/>
    <w:tmpl w:val="81724F60"/>
    <w:lvl w:ilvl="0" w:tentative="0">
      <w:start w:val="1"/>
      <w:numFmt w:val="decimal"/>
      <w:suff w:val="nothing"/>
      <w:lvlText w:val="%1．"/>
      <w:lvlJc w:val="left"/>
      <w:pPr>
        <w:ind w:left="0" w:firstLine="400"/>
      </w:pPr>
      <w:rPr>
        <w:rFonts w:hint="default"/>
      </w:rPr>
    </w:lvl>
  </w:abstractNum>
  <w:abstractNum w:abstractNumId="1">
    <w:nsid w:val="C45C505C"/>
    <w:multiLevelType w:val="singleLevel"/>
    <w:tmpl w:val="C45C505C"/>
    <w:lvl w:ilvl="0" w:tentative="0">
      <w:start w:val="1"/>
      <w:numFmt w:val="decimal"/>
      <w:lvlText w:val="(%1)"/>
      <w:lvlJc w:val="left"/>
      <w:pPr>
        <w:ind w:left="425" w:hanging="425"/>
      </w:pPr>
      <w:rPr>
        <w:rFonts w:hint="default"/>
      </w:rPr>
    </w:lvl>
  </w:abstractNum>
  <w:abstractNum w:abstractNumId="2">
    <w:nsid w:val="24F86D32"/>
    <w:multiLevelType w:val="multilevel"/>
    <w:tmpl w:val="24F86D32"/>
    <w:lvl w:ilvl="0" w:tentative="0">
      <w:start w:val="5"/>
      <w:numFmt w:val="japaneseCounting"/>
      <w:lvlText w:val="%1、"/>
      <w:lvlJc w:val="left"/>
      <w:pPr>
        <w:ind w:left="1040" w:hanging="720"/>
      </w:pPr>
      <w:rPr>
        <w:rFonts w:hint="default"/>
      </w:rPr>
    </w:lvl>
    <w:lvl w:ilvl="1" w:tentative="0">
      <w:start w:val="1"/>
      <w:numFmt w:val="lowerLetter"/>
      <w:lvlText w:val="%2)"/>
      <w:lvlJc w:val="left"/>
      <w:pPr>
        <w:ind w:left="1200" w:hanging="440"/>
      </w:pPr>
    </w:lvl>
    <w:lvl w:ilvl="2" w:tentative="0">
      <w:start w:val="1"/>
      <w:numFmt w:val="lowerRoman"/>
      <w:lvlText w:val="%3."/>
      <w:lvlJc w:val="right"/>
      <w:pPr>
        <w:ind w:left="1640" w:hanging="440"/>
      </w:pPr>
    </w:lvl>
    <w:lvl w:ilvl="3" w:tentative="0">
      <w:start w:val="1"/>
      <w:numFmt w:val="decimal"/>
      <w:lvlText w:val="%4."/>
      <w:lvlJc w:val="left"/>
      <w:pPr>
        <w:ind w:left="2080" w:hanging="440"/>
      </w:pPr>
    </w:lvl>
    <w:lvl w:ilvl="4" w:tentative="0">
      <w:start w:val="1"/>
      <w:numFmt w:val="lowerLetter"/>
      <w:lvlText w:val="%5)"/>
      <w:lvlJc w:val="left"/>
      <w:pPr>
        <w:ind w:left="2520" w:hanging="440"/>
      </w:pPr>
    </w:lvl>
    <w:lvl w:ilvl="5" w:tentative="0">
      <w:start w:val="1"/>
      <w:numFmt w:val="lowerRoman"/>
      <w:lvlText w:val="%6."/>
      <w:lvlJc w:val="right"/>
      <w:pPr>
        <w:ind w:left="2960" w:hanging="440"/>
      </w:pPr>
    </w:lvl>
    <w:lvl w:ilvl="6" w:tentative="0">
      <w:start w:val="1"/>
      <w:numFmt w:val="decimal"/>
      <w:lvlText w:val="%7."/>
      <w:lvlJc w:val="left"/>
      <w:pPr>
        <w:ind w:left="3400" w:hanging="440"/>
      </w:pPr>
    </w:lvl>
    <w:lvl w:ilvl="7" w:tentative="0">
      <w:start w:val="1"/>
      <w:numFmt w:val="lowerLetter"/>
      <w:lvlText w:val="%8)"/>
      <w:lvlJc w:val="left"/>
      <w:pPr>
        <w:ind w:left="3840" w:hanging="440"/>
      </w:pPr>
    </w:lvl>
    <w:lvl w:ilvl="8" w:tentative="0">
      <w:start w:val="1"/>
      <w:numFmt w:val="lowerRoman"/>
      <w:lvlText w:val="%9."/>
      <w:lvlJc w:val="right"/>
      <w:pPr>
        <w:ind w:left="4280" w:hanging="440"/>
      </w:pPr>
    </w:lvl>
  </w:abstractNum>
  <w:abstractNum w:abstractNumId="3">
    <w:nsid w:val="43F45A90"/>
    <w:multiLevelType w:val="singleLevel"/>
    <w:tmpl w:val="43F45A90"/>
    <w:lvl w:ilvl="0" w:tentative="0">
      <w:start w:val="1"/>
      <w:numFmt w:val="decimal"/>
      <w:suff w:val="nothing"/>
      <w:lvlText w:val="%1．"/>
      <w:lvlJc w:val="left"/>
      <w:pPr>
        <w:ind w:left="0" w:firstLine="400"/>
      </w:pPr>
      <w:rPr>
        <w:rFonts w:hint="default"/>
      </w:rPr>
    </w:lvl>
  </w:abstractNum>
  <w:abstractNum w:abstractNumId="4">
    <w:nsid w:val="47817F04"/>
    <w:multiLevelType w:val="singleLevel"/>
    <w:tmpl w:val="47817F04"/>
    <w:lvl w:ilvl="0" w:tentative="0">
      <w:start w:val="1"/>
      <w:numFmt w:val="decimal"/>
      <w:suff w:val="nothing"/>
      <w:lvlText w:val="%1．"/>
      <w:lvlJc w:val="left"/>
      <w:pPr>
        <w:ind w:left="0" w:firstLine="400"/>
      </w:pPr>
      <w:rPr>
        <w:rFonts w:hint="default"/>
      </w:rPr>
    </w:lvl>
  </w:abstractNum>
  <w:abstractNum w:abstractNumId="5">
    <w:nsid w:val="5F55B3CA"/>
    <w:multiLevelType w:val="singleLevel"/>
    <w:tmpl w:val="5F55B3CA"/>
    <w:lvl w:ilvl="0" w:tentative="0">
      <w:start w:val="1"/>
      <w:numFmt w:val="decimal"/>
      <w:suff w:val="nothing"/>
      <w:lvlText w:val="%1．"/>
      <w:lvlJc w:val="left"/>
      <w:pPr>
        <w:ind w:left="0" w:firstLine="400"/>
      </w:pPr>
      <w:rPr>
        <w:rFonts w:hint="default"/>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5OGJkMTc0YTBkNDk5ZDZmYmM4MTFiNTlkMTk3NTkifQ=="/>
  </w:docVars>
  <w:rsids>
    <w:rsidRoot w:val="009B790D"/>
    <w:rsid w:val="00044B1C"/>
    <w:rsid w:val="000461CA"/>
    <w:rsid w:val="000721DE"/>
    <w:rsid w:val="00076567"/>
    <w:rsid w:val="000C3238"/>
    <w:rsid w:val="001277E0"/>
    <w:rsid w:val="001840BA"/>
    <w:rsid w:val="001842B9"/>
    <w:rsid w:val="001D4851"/>
    <w:rsid w:val="00210D52"/>
    <w:rsid w:val="00255845"/>
    <w:rsid w:val="00272AC2"/>
    <w:rsid w:val="002A6947"/>
    <w:rsid w:val="002D4440"/>
    <w:rsid w:val="002F4A61"/>
    <w:rsid w:val="00333D7B"/>
    <w:rsid w:val="003779CE"/>
    <w:rsid w:val="004311F8"/>
    <w:rsid w:val="004A1A5C"/>
    <w:rsid w:val="004B0144"/>
    <w:rsid w:val="004C3C08"/>
    <w:rsid w:val="0052711F"/>
    <w:rsid w:val="0055246C"/>
    <w:rsid w:val="005C6C63"/>
    <w:rsid w:val="005F7643"/>
    <w:rsid w:val="00676AB5"/>
    <w:rsid w:val="006B75E1"/>
    <w:rsid w:val="00702DDC"/>
    <w:rsid w:val="0076019D"/>
    <w:rsid w:val="00786E21"/>
    <w:rsid w:val="007A4BFC"/>
    <w:rsid w:val="00800258"/>
    <w:rsid w:val="008321AD"/>
    <w:rsid w:val="008340C6"/>
    <w:rsid w:val="00881FCA"/>
    <w:rsid w:val="008C5F7A"/>
    <w:rsid w:val="008C7034"/>
    <w:rsid w:val="00925319"/>
    <w:rsid w:val="009B790D"/>
    <w:rsid w:val="009E2B12"/>
    <w:rsid w:val="00A408D6"/>
    <w:rsid w:val="00A61E98"/>
    <w:rsid w:val="00AD4B33"/>
    <w:rsid w:val="00AF4B78"/>
    <w:rsid w:val="00B27E46"/>
    <w:rsid w:val="00B44A49"/>
    <w:rsid w:val="00BE6E26"/>
    <w:rsid w:val="00C4787F"/>
    <w:rsid w:val="00C904D5"/>
    <w:rsid w:val="00CC576D"/>
    <w:rsid w:val="00D02256"/>
    <w:rsid w:val="00D11780"/>
    <w:rsid w:val="00D36431"/>
    <w:rsid w:val="00D84B91"/>
    <w:rsid w:val="00DA3D81"/>
    <w:rsid w:val="00DC0F06"/>
    <w:rsid w:val="00DC20DA"/>
    <w:rsid w:val="00E03D35"/>
    <w:rsid w:val="00E578B5"/>
    <w:rsid w:val="00E9317C"/>
    <w:rsid w:val="00F525B8"/>
    <w:rsid w:val="00F57792"/>
    <w:rsid w:val="00FA2208"/>
    <w:rsid w:val="00FD3527"/>
    <w:rsid w:val="039D3DD9"/>
    <w:rsid w:val="04510321"/>
    <w:rsid w:val="052971A9"/>
    <w:rsid w:val="07DF5017"/>
    <w:rsid w:val="097B58A5"/>
    <w:rsid w:val="0DD84858"/>
    <w:rsid w:val="0E935446"/>
    <w:rsid w:val="14E75B0E"/>
    <w:rsid w:val="1A4D68BD"/>
    <w:rsid w:val="1B6F742D"/>
    <w:rsid w:val="1D8A0960"/>
    <w:rsid w:val="241E5CD3"/>
    <w:rsid w:val="26D54593"/>
    <w:rsid w:val="27075DFC"/>
    <w:rsid w:val="27D976E5"/>
    <w:rsid w:val="30580017"/>
    <w:rsid w:val="31BB0737"/>
    <w:rsid w:val="34912307"/>
    <w:rsid w:val="34F328A6"/>
    <w:rsid w:val="36070FB8"/>
    <w:rsid w:val="38C41C35"/>
    <w:rsid w:val="3AF464B5"/>
    <w:rsid w:val="3B224535"/>
    <w:rsid w:val="3CC852FA"/>
    <w:rsid w:val="3DB23BD7"/>
    <w:rsid w:val="48A622E5"/>
    <w:rsid w:val="4C1D655E"/>
    <w:rsid w:val="4F1B7938"/>
    <w:rsid w:val="4FEA03CA"/>
    <w:rsid w:val="5376147C"/>
    <w:rsid w:val="54B86419"/>
    <w:rsid w:val="570C72AA"/>
    <w:rsid w:val="59FF0180"/>
    <w:rsid w:val="5A062679"/>
    <w:rsid w:val="5A8921B5"/>
    <w:rsid w:val="5ACB6BA8"/>
    <w:rsid w:val="5BFF0AFB"/>
    <w:rsid w:val="5D2824F2"/>
    <w:rsid w:val="5EE92175"/>
    <w:rsid w:val="5F4B27C1"/>
    <w:rsid w:val="61954E37"/>
    <w:rsid w:val="62454EAB"/>
    <w:rsid w:val="626E16EB"/>
    <w:rsid w:val="64AB6B78"/>
    <w:rsid w:val="67965C0C"/>
    <w:rsid w:val="67F97B21"/>
    <w:rsid w:val="6EBC693B"/>
    <w:rsid w:val="73AE5C8F"/>
    <w:rsid w:val="752C72A3"/>
    <w:rsid w:val="76405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style>
  <w:style w:type="paragraph" w:styleId="3">
    <w:name w:val="Body Text"/>
    <w:basedOn w:val="1"/>
    <w:semiHidden/>
    <w:qFormat/>
    <w:uiPriority w:val="0"/>
    <w:rPr>
      <w:rFonts w:ascii="宋体" w:hAnsi="宋体" w:eastAsia="宋体" w:cs="宋体"/>
    </w:rPr>
  </w:style>
  <w:style w:type="paragraph" w:styleId="4">
    <w:name w:val="Plain Text"/>
    <w:basedOn w:val="1"/>
    <w:link w:val="20"/>
    <w:unhideWhenUsed/>
    <w:qFormat/>
    <w:uiPriority w:val="0"/>
    <w:pPr>
      <w:widowControl w:val="0"/>
      <w:kinsoku/>
      <w:autoSpaceDE/>
      <w:autoSpaceDN/>
      <w:adjustRightInd/>
      <w:snapToGrid/>
      <w:jc w:val="both"/>
      <w:textAlignment w:val="auto"/>
    </w:pPr>
    <w:rPr>
      <w:rFonts w:hint="eastAsia" w:ascii="宋体" w:hAnsi="Courier New" w:eastAsia="宋体" w:cstheme="minorBidi"/>
      <w:snapToGrid/>
      <w:color w:val="auto"/>
      <w:sz w:val="20"/>
      <w:szCs w:val="24"/>
      <w:lang w:eastAsia="zh-CN"/>
    </w:rPr>
  </w:style>
  <w:style w:type="paragraph" w:styleId="5">
    <w:name w:val="Balloon Text"/>
    <w:basedOn w:val="1"/>
    <w:link w:val="19"/>
    <w:qFormat/>
    <w:uiPriority w:val="0"/>
    <w:rPr>
      <w:sz w:val="18"/>
      <w:szCs w:val="18"/>
    </w:rPr>
  </w:style>
  <w:style w:type="paragraph" w:styleId="6">
    <w:name w:val="footer"/>
    <w:basedOn w:val="1"/>
    <w:link w:val="16"/>
    <w:qFormat/>
    <w:uiPriority w:val="0"/>
    <w:pPr>
      <w:tabs>
        <w:tab w:val="center" w:pos="4153"/>
        <w:tab w:val="right" w:pos="8306"/>
      </w:tabs>
    </w:pPr>
    <w:rPr>
      <w:sz w:val="18"/>
      <w:szCs w:val="18"/>
    </w:rPr>
  </w:style>
  <w:style w:type="paragraph" w:styleId="7">
    <w:name w:val="header"/>
    <w:basedOn w:val="1"/>
    <w:link w:val="15"/>
    <w:qFormat/>
    <w:uiPriority w:val="0"/>
    <w:pPr>
      <w:tabs>
        <w:tab w:val="center" w:pos="4153"/>
        <w:tab w:val="right" w:pos="8306"/>
      </w:tabs>
      <w:jc w:val="center"/>
    </w:pPr>
    <w:rPr>
      <w:sz w:val="18"/>
      <w:szCs w:val="18"/>
    </w:rPr>
  </w:style>
  <w:style w:type="paragraph" w:styleId="8">
    <w:name w:val="annotation subject"/>
    <w:basedOn w:val="2"/>
    <w:next w:val="2"/>
    <w:link w:val="18"/>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table" w:customStyle="1" w:styleId="14">
    <w:name w:val="Table Normal"/>
    <w:semiHidden/>
    <w:unhideWhenUsed/>
    <w:qFormat/>
    <w:uiPriority w:val="0"/>
    <w:tblPr>
      <w:tblCellMar>
        <w:top w:w="0" w:type="dxa"/>
        <w:left w:w="0" w:type="dxa"/>
        <w:bottom w:w="0" w:type="dxa"/>
        <w:right w:w="0" w:type="dxa"/>
      </w:tblCellMar>
    </w:tblPr>
  </w:style>
  <w:style w:type="character" w:customStyle="1" w:styleId="15">
    <w:name w:val="页眉 字符"/>
    <w:basedOn w:val="11"/>
    <w:link w:val="7"/>
    <w:qFormat/>
    <w:uiPriority w:val="0"/>
    <w:rPr>
      <w:rFonts w:ascii="Arial" w:hAnsi="Arial" w:eastAsia="Arial" w:cs="Arial"/>
      <w:snapToGrid w:val="0"/>
      <w:color w:val="000000"/>
      <w:sz w:val="18"/>
      <w:szCs w:val="18"/>
      <w:lang w:eastAsia="en-US"/>
    </w:rPr>
  </w:style>
  <w:style w:type="character" w:customStyle="1" w:styleId="16">
    <w:name w:val="页脚 字符"/>
    <w:basedOn w:val="11"/>
    <w:link w:val="6"/>
    <w:qFormat/>
    <w:uiPriority w:val="0"/>
    <w:rPr>
      <w:rFonts w:ascii="Arial" w:hAnsi="Arial" w:eastAsia="Arial" w:cs="Arial"/>
      <w:snapToGrid w:val="0"/>
      <w:color w:val="000000"/>
      <w:sz w:val="18"/>
      <w:szCs w:val="18"/>
      <w:lang w:eastAsia="en-US"/>
    </w:rPr>
  </w:style>
  <w:style w:type="character" w:customStyle="1" w:styleId="17">
    <w:name w:val="批注文字 字符"/>
    <w:basedOn w:val="11"/>
    <w:link w:val="2"/>
    <w:qFormat/>
    <w:uiPriority w:val="0"/>
    <w:rPr>
      <w:rFonts w:ascii="Arial" w:hAnsi="Arial" w:eastAsia="Arial" w:cs="Arial"/>
      <w:snapToGrid w:val="0"/>
      <w:color w:val="000000"/>
      <w:sz w:val="21"/>
      <w:szCs w:val="21"/>
      <w:lang w:eastAsia="en-US"/>
    </w:rPr>
  </w:style>
  <w:style w:type="character" w:customStyle="1" w:styleId="18">
    <w:name w:val="批注主题 字符"/>
    <w:basedOn w:val="17"/>
    <w:link w:val="8"/>
    <w:qFormat/>
    <w:uiPriority w:val="0"/>
    <w:rPr>
      <w:rFonts w:ascii="Arial" w:hAnsi="Arial" w:eastAsia="Arial" w:cs="Arial"/>
      <w:b/>
      <w:bCs/>
      <w:snapToGrid w:val="0"/>
      <w:color w:val="000000"/>
      <w:sz w:val="21"/>
      <w:szCs w:val="21"/>
      <w:lang w:eastAsia="en-US"/>
    </w:rPr>
  </w:style>
  <w:style w:type="character" w:customStyle="1" w:styleId="19">
    <w:name w:val="批注框文本 字符"/>
    <w:basedOn w:val="11"/>
    <w:link w:val="5"/>
    <w:qFormat/>
    <w:uiPriority w:val="0"/>
    <w:rPr>
      <w:rFonts w:ascii="Arial" w:hAnsi="Arial" w:eastAsia="Arial" w:cs="Arial"/>
      <w:snapToGrid w:val="0"/>
      <w:color w:val="000000"/>
      <w:sz w:val="18"/>
      <w:szCs w:val="18"/>
      <w:lang w:eastAsia="en-US"/>
    </w:rPr>
  </w:style>
  <w:style w:type="character" w:customStyle="1" w:styleId="20">
    <w:name w:val="纯文本 字符"/>
    <w:basedOn w:val="11"/>
    <w:link w:val="4"/>
    <w:qFormat/>
    <w:uiPriority w:val="0"/>
    <w:rPr>
      <w:rFonts w:ascii="宋体" w:hAnsi="Courier New" w:cstheme="minorBid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4C547-3028-4A36-8ADE-10A0690F9EFF}">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1177</Words>
  <Characters>1319</Characters>
  <Lines>10</Lines>
  <Paragraphs>2</Paragraphs>
  <TotalTime>46</TotalTime>
  <ScaleCrop>false</ScaleCrop>
  <LinksUpToDate>false</LinksUpToDate>
  <CharactersWithSpaces>1374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2023-11-13T08:13:00Z</dcterms:created>
  <dc:creator>111</dc:creator>
  <cp:lastModifiedBy>S0107</cp:lastModifiedBy>
  <dcterms:modified xsi:type="dcterms:W3CDTF">2024-09-09T01:59:22Z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2052-12.1.0.15712</vt:lpwstr>
  </property>
  <property fmtid="{D5CDD505-2E9C-101B-9397-08002B2CF9AE}" pid="5" name="ICV">
    <vt:lpwstr>8581CCF1C31B44D6A9F4B6D355AEA33C_13</vt:lpwstr>
  </property>
</Properties>
</file>