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F771C">
      <w:pPr>
        <w:pStyle w:val="2"/>
        <w:spacing w:before="0" w:after="0" w:line="480" w:lineRule="auto"/>
        <w:rPr>
          <w:rFonts w:hint="eastAsia" w:ascii="仿宋" w:hAnsi="仿宋" w:cs="仿宋"/>
          <w:color w:val="000000" w:themeColor="text1"/>
          <w:sz w:val="32"/>
          <w:szCs w:val="32"/>
          <w14:textFill>
            <w14:solidFill>
              <w14:schemeClr w14:val="tx1"/>
            </w14:solidFill>
          </w14:textFill>
        </w:rPr>
      </w:pPr>
      <w:bookmarkStart w:id="0" w:name="_Toc207373787"/>
      <w:bookmarkStart w:id="1" w:name="_Toc7914"/>
      <w:bookmarkStart w:id="2" w:name="_Toc65682912"/>
      <w:bookmarkStart w:id="3" w:name="_Toc76569294"/>
      <w:r>
        <w:rPr>
          <w:rFonts w:hint="eastAsia" w:ascii="仿宋" w:hAnsi="仿宋" w:cs="仿宋"/>
          <w:color w:val="000000" w:themeColor="text1"/>
          <w:sz w:val="32"/>
          <w:szCs w:val="32"/>
          <w14:textFill>
            <w14:solidFill>
              <w14:schemeClr w14:val="tx1"/>
            </w14:solidFill>
          </w14:textFill>
        </w:rPr>
        <w:t>中国人寿保险（海外）股份有限公司采购SOC常态化安全运营服务项目招标公告</w:t>
      </w:r>
      <w:bookmarkEnd w:id="0"/>
      <w:bookmarkEnd w:id="1"/>
      <w:bookmarkEnd w:id="2"/>
      <w:bookmarkEnd w:id="3"/>
    </w:p>
    <w:p w14:paraId="0F034449">
      <w:pPr>
        <w:keepNext/>
        <w:keepLines/>
        <w:adjustRightInd w:val="0"/>
        <w:snapToGrid w:val="0"/>
        <w:spacing w:before="120" w:after="120" w:line="360" w:lineRule="auto"/>
        <w:jc w:val="left"/>
        <w:outlineLvl w:val="1"/>
        <w:rPr>
          <w:rFonts w:hint="eastAsia" w:ascii="仿宋" w:hAnsi="仿宋" w:eastAsia="仿宋" w:cs="仿宋"/>
          <w:b/>
          <w:color w:val="000000"/>
          <w:sz w:val="24"/>
          <w:szCs w:val="24"/>
        </w:rPr>
      </w:pPr>
      <w:bookmarkStart w:id="4" w:name="_Toc25200"/>
      <w:bookmarkStart w:id="5" w:name="_Toc24950"/>
      <w:bookmarkStart w:id="6" w:name="_Toc10131"/>
      <w:bookmarkStart w:id="7" w:name="_Toc65682913"/>
      <w:bookmarkStart w:id="8" w:name="_Toc23271"/>
      <w:bookmarkStart w:id="9" w:name="_Toc207612718"/>
      <w:bookmarkStart w:id="10" w:name="_Toc76569295"/>
      <w:r>
        <w:rPr>
          <w:rFonts w:hint="eastAsia" w:ascii="仿宋" w:hAnsi="仿宋" w:eastAsia="仿宋" w:cs="仿宋"/>
          <w:b/>
          <w:color w:val="000000"/>
          <w:sz w:val="24"/>
          <w:szCs w:val="24"/>
        </w:rPr>
        <w:t>一、</w:t>
      </w:r>
      <w:bookmarkEnd w:id="4"/>
      <w:bookmarkEnd w:id="5"/>
      <w:bookmarkEnd w:id="6"/>
      <w:r>
        <w:rPr>
          <w:rFonts w:hint="eastAsia" w:ascii="仿宋" w:hAnsi="仿宋" w:eastAsia="仿宋" w:cs="仿宋"/>
          <w:b/>
          <w:color w:val="000000"/>
          <w:sz w:val="24"/>
          <w:szCs w:val="24"/>
        </w:rPr>
        <w:t>招标条件</w:t>
      </w:r>
      <w:bookmarkEnd w:id="7"/>
      <w:bookmarkEnd w:id="8"/>
      <w:bookmarkEnd w:id="9"/>
      <w:bookmarkEnd w:id="10"/>
    </w:p>
    <w:p w14:paraId="0B5F6A6E">
      <w:pPr>
        <w:spacing w:before="156" w:beforeLines="50" w:line="360" w:lineRule="auto"/>
        <w:ind w:firstLine="480" w:firstLineChars="200"/>
        <w:rPr>
          <w:rFonts w:hint="eastAsia" w:ascii="仿宋" w:hAnsi="仿宋" w:eastAsia="仿宋" w:cs="仿宋"/>
          <w:color w:val="000000"/>
          <w:sz w:val="24"/>
          <w:szCs w:val="24"/>
        </w:rPr>
      </w:pPr>
      <w:bookmarkStart w:id="11" w:name="_Toc65682914"/>
      <w:bookmarkStart w:id="12" w:name="_Toc76569296"/>
      <w:bookmarkStart w:id="13" w:name="_Toc18478"/>
      <w:r>
        <w:rPr>
          <w:rFonts w:hint="eastAsia" w:ascii="仿宋" w:hAnsi="仿宋" w:eastAsia="仿宋" w:cs="仿宋"/>
          <w:color w:val="000000"/>
          <w:sz w:val="24"/>
          <w:szCs w:val="24"/>
          <w:u w:val="single"/>
        </w:rPr>
        <w:t>中国人寿保险（海外）股份有限公司</w:t>
      </w:r>
      <w:r>
        <w:rPr>
          <w:rFonts w:hint="eastAsia" w:ascii="仿宋" w:hAnsi="仿宋" w:eastAsia="仿宋" w:cs="仿宋"/>
          <w:color w:val="000000"/>
          <w:sz w:val="24"/>
          <w:szCs w:val="24"/>
        </w:rPr>
        <w:t>（以下简称“招标人”）委托</w:t>
      </w:r>
      <w:r>
        <w:rPr>
          <w:rFonts w:hint="eastAsia" w:ascii="仿宋" w:hAnsi="仿宋" w:eastAsia="仿宋" w:cs="仿宋"/>
          <w:color w:val="000000"/>
          <w:sz w:val="24"/>
          <w:szCs w:val="24"/>
          <w:u w:val="single"/>
        </w:rPr>
        <w:t>公诚管理咨询有限公司（以下简称“招标代理机构”）</w:t>
      </w:r>
      <w:r>
        <w:rPr>
          <w:rFonts w:hint="eastAsia" w:ascii="仿宋" w:hAnsi="仿宋" w:eastAsia="仿宋" w:cs="仿宋"/>
          <w:color w:val="000000"/>
          <w:sz w:val="24"/>
          <w:szCs w:val="24"/>
        </w:rPr>
        <w:t>就</w:t>
      </w:r>
      <w:r>
        <w:rPr>
          <w:rFonts w:hint="eastAsia" w:ascii="仿宋" w:hAnsi="仿宋" w:eastAsia="仿宋" w:cs="仿宋"/>
          <w:color w:val="000000"/>
          <w:sz w:val="24"/>
          <w:szCs w:val="24"/>
          <w:u w:val="single"/>
        </w:rPr>
        <w:t>中国人寿保险（海外）股份有限公司采购SOC常态化安全运营服务项目</w:t>
      </w:r>
      <w:r>
        <w:rPr>
          <w:rFonts w:hint="eastAsia" w:ascii="仿宋" w:hAnsi="仿宋" w:eastAsia="仿宋" w:cs="仿宋"/>
          <w:color w:val="000000"/>
          <w:sz w:val="24"/>
          <w:szCs w:val="24"/>
        </w:rPr>
        <w:t>（项目编号： CLO_QB2_202507301126, 招标代理项目编号：SZ-17-04A-2025-D-E22576）进行公开招标采购，项目资金由</w:t>
      </w:r>
      <w:r>
        <w:rPr>
          <w:rFonts w:hint="eastAsia" w:ascii="仿宋" w:hAnsi="仿宋" w:eastAsia="仿宋" w:cs="仿宋"/>
          <w:color w:val="000000"/>
          <w:sz w:val="24"/>
          <w:szCs w:val="24"/>
          <w:u w:val="single"/>
        </w:rPr>
        <w:t>中国人寿保险（海外）股份有限公司</w:t>
      </w:r>
      <w:r>
        <w:rPr>
          <w:rFonts w:hint="eastAsia" w:ascii="仿宋" w:hAnsi="仿宋" w:eastAsia="仿宋" w:cs="仿宋"/>
          <w:color w:val="000000"/>
          <w:sz w:val="24"/>
          <w:szCs w:val="24"/>
        </w:rPr>
        <w:t>自筹，资金已落实。项目已具备招标条件，欢迎符合资格条件的潜在投标人（以下简称投标人）前来投标。</w:t>
      </w:r>
    </w:p>
    <w:p w14:paraId="6682C37E">
      <w:pPr>
        <w:keepNext/>
        <w:keepLines/>
        <w:adjustRightInd w:val="0"/>
        <w:snapToGrid w:val="0"/>
        <w:spacing w:before="120" w:after="120" w:line="360" w:lineRule="auto"/>
        <w:jc w:val="left"/>
        <w:outlineLvl w:val="1"/>
        <w:rPr>
          <w:rFonts w:hint="eastAsia" w:ascii="仿宋" w:hAnsi="仿宋" w:eastAsia="仿宋" w:cs="仿宋"/>
          <w:b/>
          <w:color w:val="000000"/>
          <w:sz w:val="24"/>
          <w:szCs w:val="24"/>
        </w:rPr>
      </w:pPr>
      <w:bookmarkStart w:id="14" w:name="_Toc207612719"/>
      <w:r>
        <w:rPr>
          <w:rFonts w:hint="eastAsia" w:ascii="仿宋" w:hAnsi="仿宋" w:eastAsia="仿宋" w:cs="仿宋"/>
          <w:b/>
          <w:color w:val="000000"/>
          <w:sz w:val="24"/>
          <w:szCs w:val="24"/>
        </w:rPr>
        <w:t>二、项目概况与招标范围</w:t>
      </w:r>
      <w:bookmarkEnd w:id="11"/>
      <w:bookmarkEnd w:id="12"/>
      <w:bookmarkEnd w:id="13"/>
      <w:bookmarkEnd w:id="14"/>
    </w:p>
    <w:p w14:paraId="4192A831">
      <w:pPr>
        <w:tabs>
          <w:tab w:val="left" w:pos="780"/>
        </w:tabs>
        <w:spacing w:line="360" w:lineRule="auto"/>
        <w:ind w:firstLine="480" w:firstLineChars="200"/>
        <w:rPr>
          <w:rFonts w:hint="eastAsia" w:ascii="仿宋" w:hAnsi="仿宋" w:eastAsia="仿宋" w:cs="仿宋"/>
          <w:color w:val="000000"/>
          <w:sz w:val="24"/>
          <w:szCs w:val="24"/>
        </w:rPr>
      </w:pPr>
      <w:bookmarkStart w:id="15" w:name="_Toc65682915"/>
      <w:bookmarkStart w:id="16" w:name="_Toc17299"/>
      <w:bookmarkStart w:id="17" w:name="_Toc76569297"/>
      <w:r>
        <w:rPr>
          <w:rFonts w:hint="eastAsia" w:ascii="仿宋" w:hAnsi="仿宋" w:eastAsia="仿宋" w:cs="仿宋"/>
          <w:color w:val="000000"/>
          <w:sz w:val="24"/>
          <w:szCs w:val="24"/>
        </w:rPr>
        <w:t>2.1项目名称：中国人寿保险（海外）股份有限公司采购SOC常态化安全运营服务项目</w:t>
      </w:r>
    </w:p>
    <w:p w14:paraId="324B3D76">
      <w:pPr>
        <w:spacing w:before="59" w:beforeLines="19" w:after="59" w:afterLines="19"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2.2项目概况：拟采购一家供应商为中国人寿保险（海外）股份有限公司提供SOC常态化安全运营服务，具体技术内容详见招标文件“第五章 技术规范书”。</w:t>
      </w:r>
    </w:p>
    <w:tbl>
      <w:tblPr>
        <w:tblStyle w:val="6"/>
        <w:tblW w:w="5000" w:type="pct"/>
        <w:jc w:val="center"/>
        <w:tblLayout w:type="autofit"/>
        <w:tblCellMar>
          <w:top w:w="0" w:type="dxa"/>
          <w:left w:w="108" w:type="dxa"/>
          <w:bottom w:w="0" w:type="dxa"/>
          <w:right w:w="108" w:type="dxa"/>
        </w:tblCellMar>
      </w:tblPr>
      <w:tblGrid>
        <w:gridCol w:w="779"/>
        <w:gridCol w:w="1284"/>
        <w:gridCol w:w="7650"/>
      </w:tblGrid>
      <w:tr w14:paraId="2C7A4169">
        <w:tblPrEx>
          <w:tblCellMar>
            <w:top w:w="0" w:type="dxa"/>
            <w:left w:w="108" w:type="dxa"/>
            <w:bottom w:w="0" w:type="dxa"/>
            <w:right w:w="108" w:type="dxa"/>
          </w:tblCellMar>
        </w:tblPrEx>
        <w:trPr>
          <w:trHeight w:val="555"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14:paraId="0B81B3A8">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序号</w:t>
            </w:r>
          </w:p>
        </w:tc>
        <w:tc>
          <w:tcPr>
            <w:tcW w:w="661" w:type="pct"/>
            <w:tcBorders>
              <w:top w:val="single" w:color="auto" w:sz="4" w:space="0"/>
              <w:left w:val="single" w:color="auto" w:sz="4" w:space="0"/>
              <w:bottom w:val="single" w:color="auto" w:sz="4" w:space="0"/>
              <w:right w:val="single" w:color="auto" w:sz="4" w:space="0"/>
            </w:tcBorders>
            <w:vAlign w:val="center"/>
          </w:tcPr>
          <w:p w14:paraId="09D5FB11">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服务名称</w:t>
            </w:r>
          </w:p>
        </w:tc>
        <w:tc>
          <w:tcPr>
            <w:tcW w:w="3938" w:type="pct"/>
            <w:tcBorders>
              <w:top w:val="single" w:color="auto" w:sz="4" w:space="0"/>
              <w:left w:val="single" w:color="auto" w:sz="4" w:space="0"/>
              <w:bottom w:val="single" w:color="auto" w:sz="4" w:space="0"/>
              <w:right w:val="single" w:color="auto" w:sz="4" w:space="0"/>
            </w:tcBorders>
            <w:vAlign w:val="center"/>
          </w:tcPr>
          <w:p w14:paraId="710D7624">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详细要求</w:t>
            </w:r>
          </w:p>
        </w:tc>
      </w:tr>
      <w:tr w14:paraId="4F1ACCA9">
        <w:tblPrEx>
          <w:tblCellMar>
            <w:top w:w="0" w:type="dxa"/>
            <w:left w:w="108" w:type="dxa"/>
            <w:bottom w:w="0" w:type="dxa"/>
            <w:right w:w="108" w:type="dxa"/>
          </w:tblCellMar>
        </w:tblPrEx>
        <w:trPr>
          <w:trHeight w:val="555"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14:paraId="692C1635">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1</w:t>
            </w:r>
          </w:p>
        </w:tc>
        <w:tc>
          <w:tcPr>
            <w:tcW w:w="661" w:type="pct"/>
            <w:tcBorders>
              <w:top w:val="single" w:color="auto" w:sz="4" w:space="0"/>
              <w:left w:val="single" w:color="auto" w:sz="4" w:space="0"/>
              <w:bottom w:val="single" w:color="auto" w:sz="4" w:space="0"/>
              <w:right w:val="single" w:color="auto" w:sz="4" w:space="0"/>
            </w:tcBorders>
            <w:vAlign w:val="center"/>
          </w:tcPr>
          <w:p w14:paraId="5B5CF0E1">
            <w:pPr>
              <w:spacing w:line="240" w:lineRule="auto"/>
              <w:rPr>
                <w:rFonts w:hint="eastAsia" w:ascii="仿宋" w:hAnsi="仿宋" w:eastAsia="仿宋" w:cs="仿宋"/>
                <w:sz w:val="24"/>
                <w:szCs w:val="28"/>
              </w:rPr>
            </w:pPr>
            <w:r>
              <w:rPr>
                <w:rFonts w:hint="eastAsia" w:ascii="仿宋" w:hAnsi="仿宋" w:eastAsia="仿宋" w:cs="宋体"/>
                <w:sz w:val="24"/>
                <w:szCs w:val="28"/>
              </w:rPr>
              <w:t>安全运营驻场服务</w:t>
            </w:r>
          </w:p>
        </w:tc>
        <w:tc>
          <w:tcPr>
            <w:tcW w:w="3938" w:type="pct"/>
            <w:tcBorders>
              <w:top w:val="single" w:color="auto" w:sz="4" w:space="0"/>
              <w:left w:val="single" w:color="auto" w:sz="4" w:space="0"/>
              <w:bottom w:val="single" w:color="auto" w:sz="4" w:space="0"/>
              <w:right w:val="single" w:color="auto" w:sz="4" w:space="0"/>
            </w:tcBorders>
            <w:vAlign w:val="center"/>
          </w:tcPr>
          <w:p w14:paraId="1791CAB9">
            <w:pPr>
              <w:spacing w:line="240" w:lineRule="auto"/>
              <w:rPr>
                <w:rFonts w:hint="eastAsia" w:ascii="仿宋" w:hAnsi="仿宋" w:eastAsia="仿宋" w:cs="仿宋"/>
                <w:sz w:val="24"/>
                <w:szCs w:val="28"/>
              </w:rPr>
            </w:pPr>
            <w:r>
              <w:rPr>
                <w:rFonts w:hint="eastAsia" w:ascii="仿宋" w:hAnsi="仿宋" w:eastAsia="仿宋" w:cs="宋体"/>
                <w:sz w:val="24"/>
                <w:szCs w:val="28"/>
              </w:rPr>
              <w:t>乙方提供9名安全运营驻场人员，二线安全专家不少于4人（其中1人为安全运营经理），完成所有常态化安全运营工作。一线安全运营人员职责包括不限于：（1）完成日常7*24小时安全值守，提供全天候安全监控与事件预警服务。（2）完成日常安全运营基础工作，包括不限于威胁排查、风险预警、数据安全运营、络安全和数据安全日常风险隐患管理和漏洞全生命周期管理。（3）重保期间根据公司的要求协助落实各项安全防护事项。二线安全专家人员职责包括不限于：（1）完成日常7*24小时安全值守，按要求完成日常安全监控运营工作。（2）完成重保和攻防演练任务，负责重保和攻防演练工作。（3）完成常态化渗透测试与安全评估任务。（4）完成网络安全应急响应与溯源任务。（5）优化网络安全运营流程，建立贯穿数据全生命周期安全运营体系，完善日常检查和处置追踪等网络安全管理各环节。（6）其他安全运营优化服务，如根据安全风险定制和优化告警策略，定期评估网络安全设备告警有效性等。</w:t>
            </w:r>
          </w:p>
        </w:tc>
      </w:tr>
      <w:tr w14:paraId="60C8BD9B">
        <w:tblPrEx>
          <w:tblCellMar>
            <w:top w:w="0" w:type="dxa"/>
            <w:left w:w="108" w:type="dxa"/>
            <w:bottom w:w="0" w:type="dxa"/>
            <w:right w:w="108" w:type="dxa"/>
          </w:tblCellMar>
        </w:tblPrEx>
        <w:trPr>
          <w:trHeight w:val="890"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14:paraId="522A44BD">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2</w:t>
            </w:r>
          </w:p>
        </w:tc>
        <w:tc>
          <w:tcPr>
            <w:tcW w:w="661" w:type="pct"/>
            <w:tcBorders>
              <w:top w:val="single" w:color="auto" w:sz="4" w:space="0"/>
              <w:left w:val="single" w:color="auto" w:sz="4" w:space="0"/>
              <w:bottom w:val="single" w:color="auto" w:sz="4" w:space="0"/>
              <w:right w:val="single" w:color="auto" w:sz="4" w:space="0"/>
            </w:tcBorders>
            <w:vAlign w:val="center"/>
          </w:tcPr>
          <w:p w14:paraId="3A9BDC3B">
            <w:pPr>
              <w:spacing w:line="240" w:lineRule="auto"/>
              <w:rPr>
                <w:rFonts w:hint="eastAsia" w:ascii="仿宋" w:hAnsi="仿宋" w:eastAsia="仿宋" w:cs="仿宋"/>
                <w:sz w:val="24"/>
                <w:szCs w:val="28"/>
              </w:rPr>
            </w:pPr>
            <w:r>
              <w:rPr>
                <w:rFonts w:hint="eastAsia" w:ascii="仿宋" w:hAnsi="仿宋" w:eastAsia="仿宋" w:cs="宋体"/>
                <w:sz w:val="24"/>
                <w:szCs w:val="28"/>
              </w:rPr>
              <w:t>安全技术服务</w:t>
            </w:r>
          </w:p>
        </w:tc>
        <w:tc>
          <w:tcPr>
            <w:tcW w:w="3938" w:type="pct"/>
            <w:tcBorders>
              <w:top w:val="single" w:color="auto" w:sz="4" w:space="0"/>
              <w:left w:val="single" w:color="auto" w:sz="4" w:space="0"/>
              <w:bottom w:val="single" w:color="auto" w:sz="4" w:space="0"/>
              <w:right w:val="single" w:color="auto" w:sz="4" w:space="0"/>
            </w:tcBorders>
            <w:vAlign w:val="center"/>
          </w:tcPr>
          <w:p w14:paraId="085C878C">
            <w:pPr>
              <w:spacing w:line="240" w:lineRule="auto"/>
              <w:rPr>
                <w:rFonts w:hint="eastAsia" w:ascii="仿宋" w:hAnsi="仿宋" w:eastAsia="仿宋" w:cs="仿宋"/>
                <w:sz w:val="24"/>
                <w:szCs w:val="28"/>
              </w:rPr>
            </w:pPr>
            <w:r>
              <w:rPr>
                <w:rFonts w:hint="eastAsia" w:ascii="仿宋" w:hAnsi="仿宋" w:eastAsia="仿宋" w:cs="宋体"/>
                <w:sz w:val="24"/>
                <w:szCs w:val="28"/>
              </w:rPr>
              <w:t>建立7*24小时常态化安全运营机制，除以上驻场安全服务，其他安全技术服务包括不限于：(1)应急响应与事件溯源服务；(2)重保与红蓝对抗攻防演练服务；(3)网络安全和数据安全风险检查评估和处置管理服务；(4)AI赋能安全运营和AI安全防护服务；(5)安全运营技术能力补充服务（包括SOAR、SCA、网站安全监测以及其他安全运营所需工具）。服务覆盖所有网络安全运营兜底工作，输出安全运营工作交付件，实现“持续监测，精准识别，快速响应，智能防护”的运营策略。</w:t>
            </w:r>
          </w:p>
        </w:tc>
      </w:tr>
      <w:tr w14:paraId="46552BF1">
        <w:tblPrEx>
          <w:tblCellMar>
            <w:top w:w="0" w:type="dxa"/>
            <w:left w:w="108" w:type="dxa"/>
            <w:bottom w:w="0" w:type="dxa"/>
            <w:right w:w="108" w:type="dxa"/>
          </w:tblCellMar>
        </w:tblPrEx>
        <w:trPr>
          <w:trHeight w:val="519" w:hRule="atLeast"/>
          <w:jc w:val="center"/>
        </w:trPr>
        <w:tc>
          <w:tcPr>
            <w:tcW w:w="401" w:type="pct"/>
            <w:tcBorders>
              <w:top w:val="single" w:color="auto" w:sz="4" w:space="0"/>
              <w:left w:val="single" w:color="auto" w:sz="4" w:space="0"/>
              <w:bottom w:val="single" w:color="auto" w:sz="4" w:space="0"/>
              <w:right w:val="single" w:color="auto" w:sz="4" w:space="0"/>
            </w:tcBorders>
            <w:vAlign w:val="center"/>
          </w:tcPr>
          <w:p w14:paraId="101EC28C">
            <w:pPr>
              <w:spacing w:line="240" w:lineRule="auto"/>
              <w:jc w:val="center"/>
              <w:rPr>
                <w:rFonts w:hint="eastAsia" w:ascii="仿宋" w:hAnsi="仿宋" w:eastAsia="仿宋" w:cs="仿宋"/>
                <w:kern w:val="0"/>
                <w:sz w:val="24"/>
                <w:szCs w:val="24"/>
              </w:rPr>
            </w:pPr>
            <w:r>
              <w:rPr>
                <w:rFonts w:hint="eastAsia" w:ascii="仿宋" w:hAnsi="仿宋" w:eastAsia="仿宋" w:cs="仿宋"/>
                <w:kern w:val="0"/>
                <w:sz w:val="24"/>
                <w:szCs w:val="24"/>
              </w:rPr>
              <w:t>3</w:t>
            </w:r>
          </w:p>
        </w:tc>
        <w:tc>
          <w:tcPr>
            <w:tcW w:w="661" w:type="pct"/>
            <w:tcBorders>
              <w:top w:val="single" w:color="auto" w:sz="4" w:space="0"/>
              <w:left w:val="single" w:color="auto" w:sz="4" w:space="0"/>
              <w:bottom w:val="single" w:color="auto" w:sz="4" w:space="0"/>
              <w:right w:val="single" w:color="auto" w:sz="4" w:space="0"/>
            </w:tcBorders>
            <w:vAlign w:val="center"/>
          </w:tcPr>
          <w:p w14:paraId="071A232B">
            <w:pPr>
              <w:spacing w:line="240" w:lineRule="auto"/>
              <w:rPr>
                <w:rFonts w:hint="eastAsia" w:ascii="仿宋" w:hAnsi="仿宋" w:eastAsia="仿宋" w:cs="仿宋"/>
                <w:sz w:val="24"/>
                <w:szCs w:val="28"/>
              </w:rPr>
            </w:pPr>
            <w:r>
              <w:rPr>
                <w:rFonts w:hint="eastAsia" w:ascii="仿宋" w:hAnsi="仿宋" w:eastAsia="仿宋" w:cs="宋体"/>
                <w:sz w:val="24"/>
                <w:szCs w:val="28"/>
              </w:rPr>
              <w:t>国际化标准信息安全管理体系建设</w:t>
            </w:r>
          </w:p>
        </w:tc>
        <w:tc>
          <w:tcPr>
            <w:tcW w:w="3938" w:type="pct"/>
            <w:tcBorders>
              <w:top w:val="single" w:color="auto" w:sz="4" w:space="0"/>
              <w:left w:val="single" w:color="auto" w:sz="4" w:space="0"/>
              <w:bottom w:val="single" w:color="auto" w:sz="4" w:space="0"/>
              <w:right w:val="single" w:color="auto" w:sz="4" w:space="0"/>
            </w:tcBorders>
            <w:vAlign w:val="center"/>
          </w:tcPr>
          <w:p w14:paraId="10C3E5D7">
            <w:pPr>
              <w:spacing w:line="240" w:lineRule="auto"/>
              <w:rPr>
                <w:rFonts w:hint="eastAsia" w:ascii="仿宋" w:hAnsi="仿宋" w:eastAsia="仿宋" w:cs="仿宋"/>
                <w:sz w:val="24"/>
                <w:szCs w:val="28"/>
              </w:rPr>
            </w:pPr>
            <w:r>
              <w:rPr>
                <w:rFonts w:hint="eastAsia" w:ascii="仿宋" w:hAnsi="仿宋" w:eastAsia="仿宋" w:cs="宋体"/>
                <w:sz w:val="24"/>
                <w:szCs w:val="28"/>
              </w:rPr>
              <w:t>供应商提供覆盖国际化标准信息安全管理体系全流程建设服务，包括从差距分析与风险评估、体系搭建、试运行与验证、第三方审核认证的全流程服务，以及后续认证维持和持续优化支持。根据我司现有信息安全体系定制化设计控制措施，输出约定的交付件，建立起符合国际化标准的信息安全管理体系。</w:t>
            </w:r>
          </w:p>
        </w:tc>
      </w:tr>
    </w:tbl>
    <w:p w14:paraId="4C83974A">
      <w:pPr>
        <w:spacing w:before="59" w:beforeLines="19" w:after="59" w:afterLines="19" w:line="360" w:lineRule="auto"/>
        <w:ind w:firstLine="480" w:firstLineChars="200"/>
        <w:textAlignment w:val="baseline"/>
        <w:rPr>
          <w:rFonts w:hint="eastAsia" w:ascii="仿宋" w:hAnsi="仿宋" w:eastAsia="仿宋" w:cs="仿宋"/>
          <w:b/>
          <w:bCs/>
          <w:color w:val="000000"/>
          <w:sz w:val="24"/>
          <w:szCs w:val="24"/>
        </w:rPr>
      </w:pPr>
      <w:r>
        <w:rPr>
          <w:rFonts w:hint="eastAsia" w:ascii="仿宋" w:hAnsi="仿宋" w:eastAsia="仿宋" w:cs="仿宋"/>
          <w:color w:val="000000"/>
          <w:sz w:val="24"/>
          <w:szCs w:val="24"/>
        </w:rPr>
        <w:t>2.3 预算金额：人民币含税700万元。</w:t>
      </w:r>
    </w:p>
    <w:p w14:paraId="6F4FCA72">
      <w:pPr>
        <w:spacing w:before="59" w:beforeLines="19" w:after="59" w:afterLines="19" w:line="360" w:lineRule="auto"/>
        <w:ind w:firstLine="482" w:firstLineChars="200"/>
        <w:textAlignment w:val="baseline"/>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注：以上预算金额仅为招标人在服务期内向中标人采购的金额上限，实际采购金额未达预算金额招标人不承担任何法律责任。</w:t>
      </w:r>
    </w:p>
    <w:p w14:paraId="63166C13">
      <w:pPr>
        <w:spacing w:before="59" w:beforeLines="19" w:after="59" w:afterLines="19"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2.4服务期限：自合同签订之日起两年。</w:t>
      </w:r>
    </w:p>
    <w:p w14:paraId="6E3D0E0F">
      <w:pPr>
        <w:spacing w:before="59" w:beforeLines="19" w:after="59" w:afterLines="19" w:line="360" w:lineRule="auto"/>
        <w:ind w:firstLine="480" w:firstLineChars="200"/>
        <w:textAlignment w:val="baseline"/>
        <w:rPr>
          <w:rFonts w:hint="eastAsia" w:ascii="仿宋" w:hAnsi="仿宋" w:cs="仿宋"/>
          <w:color w:val="000000"/>
          <w:kern w:val="0"/>
          <w:sz w:val="24"/>
        </w:rPr>
      </w:pPr>
      <w:r>
        <w:rPr>
          <w:rFonts w:hint="eastAsia" w:ascii="仿宋" w:hAnsi="仿宋" w:eastAsia="仿宋" w:cs="仿宋"/>
          <w:color w:val="000000"/>
          <w:kern w:val="0"/>
          <w:sz w:val="24"/>
        </w:rPr>
        <w:t>2.5服务地点：</w:t>
      </w:r>
      <w:r>
        <w:rPr>
          <w:rFonts w:hint="eastAsia" w:ascii="仿宋" w:hAnsi="仿宋" w:eastAsia="仿宋" w:cs="仿宋"/>
          <w:color w:val="000000"/>
          <w:sz w:val="24"/>
          <w:szCs w:val="24"/>
        </w:rPr>
        <w:t>深圳市。</w:t>
      </w:r>
    </w:p>
    <w:p w14:paraId="37514AA3">
      <w:pPr>
        <w:spacing w:line="360" w:lineRule="auto"/>
        <w:ind w:firstLine="422"/>
        <w:rPr>
          <w:rFonts w:hint="eastAsia" w:ascii="仿宋" w:hAnsi="仿宋" w:eastAsia="仿宋" w:cs="仿宋"/>
          <w:b/>
          <w:color w:val="000000"/>
          <w:sz w:val="24"/>
          <w:szCs w:val="24"/>
        </w:rPr>
      </w:pPr>
      <w:r>
        <w:rPr>
          <w:rFonts w:hint="eastAsia" w:ascii="仿宋" w:hAnsi="仿宋" w:eastAsia="仿宋" w:cs="仿宋"/>
          <w:b/>
          <w:color w:val="000000"/>
          <w:sz w:val="24"/>
          <w:szCs w:val="24"/>
        </w:rPr>
        <w:t>2.5★本项目设置含税最高限价，详见《投标一览表》，若供应商报价超过最高限价，按否决投标情况处理。</w:t>
      </w:r>
    </w:p>
    <w:p w14:paraId="44A92C5A">
      <w:pPr>
        <w:spacing w:line="360" w:lineRule="auto"/>
        <w:ind w:firstLine="422"/>
        <w:rPr>
          <w:rFonts w:hint="eastAsia" w:ascii="仿宋" w:hAnsi="仿宋" w:eastAsia="仿宋" w:cs="仿宋"/>
          <w:b/>
          <w:color w:val="000000"/>
          <w:sz w:val="24"/>
          <w:szCs w:val="24"/>
        </w:rPr>
      </w:pPr>
    </w:p>
    <w:p w14:paraId="29174A12">
      <w:pPr>
        <w:keepNext/>
        <w:keepLines/>
        <w:adjustRightInd w:val="0"/>
        <w:snapToGrid w:val="0"/>
        <w:spacing w:before="120" w:after="120" w:line="360" w:lineRule="auto"/>
        <w:jc w:val="left"/>
        <w:outlineLvl w:val="1"/>
        <w:rPr>
          <w:rFonts w:hint="eastAsia" w:ascii="仿宋" w:hAnsi="仿宋" w:eastAsia="仿宋" w:cs="仿宋"/>
          <w:b/>
          <w:color w:val="000000"/>
          <w:sz w:val="24"/>
          <w:szCs w:val="24"/>
        </w:rPr>
      </w:pPr>
      <w:bookmarkStart w:id="18" w:name="_Toc207612720"/>
      <w:r>
        <w:rPr>
          <w:rFonts w:hint="eastAsia" w:ascii="仿宋" w:hAnsi="仿宋" w:eastAsia="仿宋" w:cs="仿宋"/>
          <w:b/>
          <w:color w:val="000000"/>
          <w:szCs w:val="21"/>
          <w:u w:val="single"/>
        </w:rPr>
        <w:t>★</w:t>
      </w:r>
      <w:r>
        <w:rPr>
          <w:rFonts w:hint="eastAsia" w:ascii="仿宋" w:hAnsi="仿宋" w:eastAsia="仿宋" w:cs="仿宋"/>
          <w:b/>
          <w:color w:val="000000"/>
          <w:sz w:val="24"/>
          <w:szCs w:val="24"/>
        </w:rPr>
        <w:t>三、投标人资格要求</w:t>
      </w:r>
      <w:bookmarkEnd w:id="15"/>
      <w:bookmarkEnd w:id="16"/>
      <w:bookmarkEnd w:id="17"/>
      <w:bookmarkEnd w:id="18"/>
    </w:p>
    <w:p w14:paraId="7D81520D">
      <w:pPr>
        <w:spacing w:line="360" w:lineRule="auto"/>
        <w:ind w:firstLine="420" w:firstLineChars="175"/>
        <w:textAlignment w:val="baseline"/>
        <w:rPr>
          <w:rFonts w:hint="eastAsia" w:ascii="仿宋" w:hAnsi="仿宋" w:eastAsia="仿宋" w:cs="仿宋"/>
          <w:color w:val="000000"/>
          <w:sz w:val="24"/>
          <w:szCs w:val="24"/>
        </w:rPr>
      </w:pPr>
      <w:bookmarkStart w:id="19" w:name="_Hlk69456964"/>
      <w:r>
        <w:rPr>
          <w:rFonts w:hint="eastAsia" w:ascii="仿宋" w:hAnsi="仿宋" w:eastAsia="仿宋" w:cs="仿宋"/>
          <w:color w:val="000000"/>
          <w:sz w:val="24"/>
          <w:szCs w:val="24"/>
        </w:rPr>
        <w:t>3.1投标人必须具有独立法人资格或经其授权具有承接本项目能力的分支机构（须提供营业执照，如果是分支机构参与本项目投标，还须同时提供其具备独立法人资格的上级主体出具的有效授权书，但只接受直接授权，不接受逐级授权。提供授权书（格式自拟），原件备查）。本项目不接受总公司与分支机构同时参与投标，也不接受同一总公司授权两个或以上分支机构同时参与本项目投标；如出现以上情形，该两家或以上投标人的投标文件均按无效投标处理。</w:t>
      </w:r>
    </w:p>
    <w:p w14:paraId="6535C1CB">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3.2投标人须</w:t>
      </w:r>
      <w:bookmarkStart w:id="20" w:name="_Hlk207033400"/>
      <w:r>
        <w:rPr>
          <w:rFonts w:hint="eastAsia" w:ascii="仿宋" w:hAnsi="仿宋" w:eastAsia="仿宋" w:cs="仿宋"/>
          <w:color w:val="000000"/>
          <w:sz w:val="24"/>
          <w:szCs w:val="24"/>
        </w:rPr>
        <w:t>满足下列要求</w:t>
      </w:r>
      <w:bookmarkEnd w:id="20"/>
      <w:r>
        <w:rPr>
          <w:rFonts w:hint="eastAsia" w:ascii="仿宋" w:hAnsi="仿宋" w:eastAsia="仿宋" w:cs="仿宋"/>
          <w:color w:val="000000"/>
          <w:sz w:val="24"/>
          <w:szCs w:val="24"/>
        </w:rPr>
        <w:t>：</w:t>
      </w:r>
      <w:r>
        <w:rPr>
          <w:rFonts w:hint="eastAsia" w:ascii="仿宋" w:hAnsi="仿宋" w:eastAsia="仿宋" w:cs="仿宋"/>
          <w:b/>
          <w:bCs/>
          <w:color w:val="000000"/>
          <w:sz w:val="24"/>
          <w:szCs w:val="24"/>
        </w:rPr>
        <w:t>（投标人须提供书面承诺书，格式自拟）</w:t>
      </w:r>
    </w:p>
    <w:p w14:paraId="5A58795D">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1）具有独立承担民事责任的能力；</w:t>
      </w:r>
    </w:p>
    <w:p w14:paraId="0F34BEDA">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2）有依法缴纳税收和社会保障资金的良好记录；</w:t>
      </w:r>
    </w:p>
    <w:p w14:paraId="758A7168">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3）具有良好的商业信誉和健全的财务会计制度；</w:t>
      </w:r>
    </w:p>
    <w:p w14:paraId="5B2D962B">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4）具备履行合同所必须的设备和专业技术能力；</w:t>
      </w:r>
    </w:p>
    <w:p w14:paraId="7EE6E554">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5）参加采购活动前3年内，在经营活动中没有重大违法记录及参加政府采购活动前3年内在经营活动中没有重大违法记录的书面声明。</w:t>
      </w:r>
    </w:p>
    <w:p w14:paraId="7AF8D56D">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3.3投标人未被列入“信用中国”网站中“失信被执行人、重大税收违法失信主体、政府采购严重违法失信行为记录名单”。（如查询结果显示“很抱歉，没有找到您搜索的数据”“在全国范围内没有找到（公司名称）相关的结果”，视为没有上述三类不良信用记录。投标人提供信用中国网站www.creditchina.gov.cn 查询结果截图。最终以招标人或招标代理机构评审当日在网上查询结果为准）。</w:t>
      </w:r>
    </w:p>
    <w:p w14:paraId="3720B800">
      <w:pPr>
        <w:tabs>
          <w:tab w:val="left" w:pos="0"/>
        </w:tabs>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3.4业绩要求：投标人自2022年1月1日（以合同签订时间或合同约定的服务开始时间为准）至今须具备至少1个金融行业SOC常态化安全运营服务的合同，合同金额不得低于350万元。【提供合同关键页复印件（包含但不限于合同封面/首页、合同内容、金额页、服务期限、签章页）及结算证明复印件【包含但不限于经合同甲方签字或盖章的结算材料，或合同甲方线上业务系统下达的订单或确认结算的截图/导出文件，和付款证明（发票或银行流水均可）】。结算材料累计值和付款证明累计值均达到要求金额方可计入，同一结算材料所对应的发票、银行流水仅计一种。业绩可包含投标人分公司、全资子公司的案例，若为全资子公司还须提供企查查（https://www.qcc.com）或爱企查（https://aiqicha.baidu.com/）或天眼查（https://www.tianyancha.com/）相关控股关系截图证明；未按要求提供证明材料或提供的证明材料因模糊不清等各种原因不足以支撑判断的，则对应业绩不符合资格条件】；母公司/总公司投标的，全资子公司/分公司业绩予以认可；全资子公司/分公司投标的，业绩必须是全资子公司/分公司的。</w:t>
      </w:r>
    </w:p>
    <w:p w14:paraId="7D3FA626">
      <w:pPr>
        <w:tabs>
          <w:tab w:val="left" w:pos="0"/>
        </w:tabs>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3.5单位负责人为同一人或者存在控股、管理关系的不同单位，不得同时参加同一项目的投标，投标人提交投标文件时必须提供《投标人控股及管理关系情况申报表》。</w:t>
      </w:r>
    </w:p>
    <w:p w14:paraId="0DD5EAF5">
      <w:pPr>
        <w:tabs>
          <w:tab w:val="left" w:pos="0"/>
        </w:tabs>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3.6本次招标不接受联合体投标，不允许转包、分包；</w:t>
      </w:r>
    </w:p>
    <w:p w14:paraId="62A362E3">
      <w:pPr>
        <w:tabs>
          <w:tab w:val="left" w:pos="0"/>
        </w:tabs>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3.7审计报告要求：提供近3年（2022至2024年度）由会计事务所出具的审计报告，报告中有保留意见的均视为资格不符。</w:t>
      </w:r>
    </w:p>
    <w:p w14:paraId="31158CE9">
      <w:pPr>
        <w:tabs>
          <w:tab w:val="left" w:pos="0"/>
        </w:tabs>
        <w:spacing w:line="360" w:lineRule="auto"/>
        <w:ind w:firstLine="480" w:firstLineChars="200"/>
        <w:rPr>
          <w:rFonts w:hint="eastAsia" w:ascii="仿宋" w:hAnsi="仿宋" w:eastAsia="仿宋" w:cs="仿宋"/>
          <w:color w:val="000000"/>
          <w:sz w:val="24"/>
          <w:szCs w:val="24"/>
        </w:rPr>
      </w:pPr>
    </w:p>
    <w:bookmarkEnd w:id="19"/>
    <w:p w14:paraId="22CB9672">
      <w:pPr>
        <w:keepNext/>
        <w:keepLines/>
        <w:adjustRightInd w:val="0"/>
        <w:snapToGrid w:val="0"/>
        <w:spacing w:before="120" w:after="120" w:line="360" w:lineRule="auto"/>
        <w:jc w:val="left"/>
        <w:outlineLvl w:val="1"/>
        <w:rPr>
          <w:rFonts w:hint="eastAsia" w:ascii="仿宋" w:hAnsi="仿宋" w:eastAsia="仿宋" w:cs="仿宋"/>
          <w:b/>
          <w:color w:val="000000"/>
          <w:sz w:val="24"/>
        </w:rPr>
      </w:pPr>
      <w:bookmarkStart w:id="21" w:name="_Toc76569298"/>
      <w:bookmarkStart w:id="22" w:name="_Toc65682916"/>
      <w:bookmarkStart w:id="23" w:name="_Toc207612721"/>
      <w:bookmarkStart w:id="24" w:name="_Toc21224"/>
      <w:r>
        <w:rPr>
          <w:rFonts w:hint="eastAsia" w:ascii="仿宋" w:hAnsi="仿宋" w:eastAsia="仿宋" w:cs="仿宋"/>
          <w:b/>
          <w:color w:val="000000"/>
          <w:sz w:val="24"/>
        </w:rPr>
        <w:t>四、资格审查方法</w:t>
      </w:r>
      <w:bookmarkEnd w:id="21"/>
      <w:bookmarkEnd w:id="22"/>
      <w:bookmarkEnd w:id="23"/>
      <w:bookmarkEnd w:id="24"/>
    </w:p>
    <w:p w14:paraId="7757580C">
      <w:pPr>
        <w:spacing w:line="360" w:lineRule="auto"/>
        <w:ind w:firstLine="480" w:firstLineChars="200"/>
        <w:textAlignment w:val="baseline"/>
        <w:rPr>
          <w:rFonts w:hint="eastAsia" w:ascii="仿宋" w:hAnsi="仿宋" w:eastAsia="仿宋" w:cs="仿宋"/>
          <w:color w:val="000000"/>
          <w:sz w:val="24"/>
          <w:szCs w:val="24"/>
        </w:rPr>
      </w:pPr>
      <w:bookmarkStart w:id="25" w:name="_Toc65682917"/>
      <w:bookmarkStart w:id="26" w:name="_Toc32460"/>
      <w:r>
        <w:rPr>
          <w:rFonts w:hint="eastAsia" w:ascii="仿宋" w:hAnsi="仿宋" w:eastAsia="仿宋" w:cs="仿宋"/>
          <w:color w:val="000000"/>
          <w:sz w:val="24"/>
          <w:szCs w:val="24"/>
        </w:rPr>
        <w:t>本项目将进行资格后审，资格审查方法为合格制，资格审查标准和内容见招标文件第三章“评标办法”。未通过资格后审的投标人，投标将被否决。</w:t>
      </w:r>
    </w:p>
    <w:p w14:paraId="6CD9ACE2">
      <w:pPr>
        <w:keepNext/>
        <w:keepLines/>
        <w:adjustRightInd w:val="0"/>
        <w:snapToGrid w:val="0"/>
        <w:spacing w:before="120" w:after="120" w:line="360" w:lineRule="auto"/>
        <w:jc w:val="left"/>
        <w:outlineLvl w:val="1"/>
        <w:rPr>
          <w:rFonts w:hint="eastAsia" w:ascii="仿宋" w:hAnsi="仿宋" w:eastAsia="仿宋" w:cs="仿宋"/>
          <w:b/>
          <w:color w:val="000000"/>
          <w:sz w:val="24"/>
          <w:szCs w:val="24"/>
        </w:rPr>
      </w:pPr>
      <w:bookmarkStart w:id="27" w:name="_Toc76569299"/>
      <w:bookmarkStart w:id="28" w:name="_Toc207612722"/>
      <w:r>
        <w:rPr>
          <w:rFonts w:hint="eastAsia" w:ascii="仿宋" w:hAnsi="仿宋" w:eastAsia="仿宋" w:cs="仿宋"/>
          <w:b/>
          <w:color w:val="000000"/>
          <w:sz w:val="24"/>
          <w:szCs w:val="24"/>
        </w:rPr>
        <w:t>五、招标文件的获取</w:t>
      </w:r>
      <w:bookmarkEnd w:id="25"/>
      <w:bookmarkEnd w:id="26"/>
      <w:bookmarkEnd w:id="27"/>
      <w:bookmarkEnd w:id="28"/>
    </w:p>
    <w:p w14:paraId="75CA42EC">
      <w:pPr>
        <w:spacing w:line="360" w:lineRule="auto"/>
        <w:ind w:firstLine="480" w:firstLineChars="200"/>
        <w:rPr>
          <w:rFonts w:hint="eastAsia" w:ascii="仿宋" w:hAnsi="仿宋" w:eastAsia="仿宋" w:cs="仿宋"/>
          <w:color w:val="000000"/>
          <w:sz w:val="24"/>
          <w:szCs w:val="24"/>
        </w:rPr>
      </w:pPr>
      <w:bookmarkStart w:id="29" w:name="_Toc7435"/>
      <w:bookmarkStart w:id="30" w:name="_Toc76569300"/>
      <w:r>
        <w:rPr>
          <w:rFonts w:hint="eastAsia" w:ascii="仿宋" w:hAnsi="仿宋" w:eastAsia="仿宋" w:cs="仿宋"/>
          <w:color w:val="000000"/>
          <w:sz w:val="24"/>
          <w:szCs w:val="24"/>
        </w:rPr>
        <w:t>5.1本项目实行网上发售电子版招标文件，不再出售纸质招标文件。</w:t>
      </w:r>
    </w:p>
    <w:p w14:paraId="6B765C6E">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5.2招标文件获取时间: 2025年09月02日招标公告发布至2025年09月08日17时30分（北京时间，下同）；</w:t>
      </w:r>
    </w:p>
    <w:p w14:paraId="36C4DC2D">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5.3招标文件费用：每套售价300.00元人民币，售后不退。</w:t>
      </w:r>
    </w:p>
    <w:p w14:paraId="393F79B3">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5.4招标文件获取方式：凡有意参与投标的潜在投标人，请按以下步骤顺序进行操作，获取招标文件：</w:t>
      </w:r>
    </w:p>
    <w:p w14:paraId="532C8937">
      <w:pPr>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通过“诚E招电子采购交易平台”（网址：https://www.chengezhao.com/）完成本项目招标文件的费用支付并及时下载招标文件。</w:t>
      </w:r>
    </w:p>
    <w:p w14:paraId="6E98DDDE">
      <w:pPr>
        <w:spacing w:line="360" w:lineRule="auto"/>
        <w:ind w:firstLine="240" w:firstLineChars="100"/>
        <w:rPr>
          <w:rFonts w:hint="eastAsia" w:ascii="仿宋" w:hAnsi="仿宋" w:eastAsia="仿宋" w:cs="仿宋"/>
          <w:color w:val="000000"/>
          <w:sz w:val="24"/>
          <w:szCs w:val="24"/>
        </w:rPr>
      </w:pPr>
      <w:r>
        <w:rPr>
          <w:rFonts w:hint="eastAsia" w:ascii="仿宋" w:hAnsi="仿宋" w:eastAsia="仿宋" w:cs="仿宋"/>
          <w:color w:val="000000"/>
          <w:sz w:val="24"/>
          <w:szCs w:val="24"/>
        </w:rPr>
        <w:t>（1）输入网址，点击【新用户注册】（注册步骤详见门户网站：【投标人操作指南】-【注册指引】）。登陆账号后点击【常用文件】，下载《投标人&amp;供应商操作手册》（已注册供应商跳过本步）；</w:t>
      </w:r>
    </w:p>
    <w:p w14:paraId="79847426">
      <w:pPr>
        <w:spacing w:line="360" w:lineRule="auto"/>
        <w:ind w:firstLine="240" w:firstLineChars="100"/>
        <w:rPr>
          <w:rFonts w:hint="eastAsia" w:ascii="仿宋" w:hAnsi="仿宋" w:eastAsia="仿宋" w:cs="仿宋"/>
          <w:color w:val="000000"/>
          <w:sz w:val="24"/>
          <w:szCs w:val="24"/>
        </w:rPr>
      </w:pPr>
      <w:r>
        <w:rPr>
          <w:rFonts w:hint="eastAsia" w:ascii="仿宋" w:hAnsi="仿宋" w:eastAsia="仿宋" w:cs="仿宋"/>
          <w:color w:val="000000"/>
          <w:sz w:val="24"/>
          <w:szCs w:val="24"/>
        </w:rPr>
        <w:t>（2）注册成功后登录平台，点击【商机发现】，检索本项目并直接支付；</w:t>
      </w:r>
    </w:p>
    <w:p w14:paraId="6968C239">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注意：无论招标文件是否收费，投标人请务必在标书售卖截止时间前登录平台，选择招标项目进行招标文件购买操作；否则将无法正常投标。</w:t>
      </w:r>
    </w:p>
    <w:p w14:paraId="72EFFE9D">
      <w:pPr>
        <w:spacing w:line="360" w:lineRule="auto"/>
        <w:ind w:firstLine="240" w:firstLineChars="100"/>
        <w:rPr>
          <w:rFonts w:hint="eastAsia" w:ascii="仿宋" w:hAnsi="仿宋" w:eastAsia="仿宋" w:cs="仿宋"/>
          <w:color w:val="000000"/>
          <w:sz w:val="24"/>
          <w:szCs w:val="24"/>
        </w:rPr>
      </w:pPr>
      <w:r>
        <w:rPr>
          <w:rFonts w:hint="eastAsia" w:ascii="仿宋" w:hAnsi="仿宋" w:eastAsia="仿宋" w:cs="仿宋"/>
          <w:color w:val="000000"/>
          <w:sz w:val="24"/>
          <w:szCs w:val="24"/>
        </w:rPr>
        <w:t>（3）选择支付方式：①网上支付（微信扫码）、②电汇（须上传汇款凭证）。</w:t>
      </w:r>
    </w:p>
    <w:p w14:paraId="7C07BB2D">
      <w:pPr>
        <w:spacing w:line="360" w:lineRule="auto"/>
        <w:ind w:firstLine="240" w:firstLineChars="100"/>
        <w:rPr>
          <w:rFonts w:hint="eastAsia" w:ascii="仿宋" w:hAnsi="仿宋" w:eastAsia="仿宋" w:cs="仿宋"/>
          <w:color w:val="000000"/>
          <w:sz w:val="24"/>
          <w:szCs w:val="24"/>
        </w:rPr>
      </w:pPr>
      <w:r>
        <w:rPr>
          <w:rFonts w:hint="eastAsia" w:ascii="仿宋" w:hAnsi="仿宋" w:eastAsia="仿宋" w:cs="仿宋"/>
          <w:color w:val="000000"/>
          <w:sz w:val="24"/>
          <w:szCs w:val="24"/>
        </w:rPr>
        <w:t>（4）点击【我的项目】，进入项目后下载招标文件即完成文件获取。</w:t>
      </w:r>
    </w:p>
    <w:p w14:paraId="4FA4AE26">
      <w:pPr>
        <w:spacing w:line="360" w:lineRule="auto"/>
        <w:ind w:firstLine="240" w:firstLineChars="100"/>
        <w:rPr>
          <w:rFonts w:hint="eastAsia" w:ascii="仿宋" w:hAnsi="仿宋" w:eastAsia="仿宋" w:cs="仿宋"/>
          <w:color w:val="000000"/>
          <w:sz w:val="24"/>
          <w:szCs w:val="24"/>
        </w:rPr>
      </w:pPr>
      <w:r>
        <w:rPr>
          <w:rFonts w:hint="eastAsia" w:ascii="仿宋" w:hAnsi="仿宋" w:eastAsia="仿宋" w:cs="仿宋"/>
          <w:color w:val="000000"/>
          <w:sz w:val="24"/>
          <w:szCs w:val="24"/>
        </w:rPr>
        <w:t>（5）疑问反馈：投标人针对投标人注册、招标文件获取、CA证书办理、网上操作等相关业务的咨询，可查询平台首页“帮助中心”专区，或致电客服热线：020-89524219，服务时间8:30-17:30（工作日）。</w:t>
      </w:r>
    </w:p>
    <w:p w14:paraId="7BB9CAEE">
      <w:pPr>
        <w:spacing w:line="360" w:lineRule="auto"/>
        <w:ind w:firstLine="240" w:firstLineChars="100"/>
        <w:rPr>
          <w:rFonts w:hint="eastAsia" w:ascii="仿宋" w:hAnsi="仿宋" w:eastAsia="仿宋" w:cs="仿宋"/>
          <w:color w:val="000000"/>
          <w:sz w:val="24"/>
          <w:szCs w:val="24"/>
        </w:rPr>
      </w:pPr>
      <w:r>
        <w:rPr>
          <w:rFonts w:hint="eastAsia" w:ascii="仿宋" w:hAnsi="仿宋" w:eastAsia="仿宋" w:cs="仿宋"/>
          <w:color w:val="000000"/>
          <w:sz w:val="24"/>
          <w:szCs w:val="24"/>
        </w:rPr>
        <w:t>（6）免责声明：“诚E招电子采购交易平台”（网址：https://www.chengezhao.com/）为本项目招标文件获取的唯一渠道，其他平台支付及获取文件均属无效。</w:t>
      </w:r>
    </w:p>
    <w:p w14:paraId="21AB1894">
      <w:pPr>
        <w:spacing w:line="360" w:lineRule="auto"/>
        <w:rPr>
          <w:rFonts w:hint="eastAsia" w:ascii="仿宋" w:hAnsi="仿宋" w:eastAsia="仿宋" w:cs="仿宋"/>
          <w:color w:val="000000"/>
          <w:sz w:val="24"/>
          <w:szCs w:val="24"/>
        </w:rPr>
      </w:pPr>
      <w:r>
        <w:rPr>
          <w:rFonts w:hint="eastAsia" w:ascii="仿宋" w:hAnsi="仿宋" w:eastAsia="仿宋" w:cs="仿宋"/>
          <w:color w:val="000000"/>
          <w:sz w:val="24"/>
          <w:szCs w:val="24"/>
        </w:rPr>
        <w:t>注意：招标文件的获取方式及操作步骤详见《投标人&amp;供应商操作手册》-“投标人报名”、“购买文件”等。</w:t>
      </w:r>
    </w:p>
    <w:p w14:paraId="3BDAB304">
      <w:pPr>
        <w:keepNext/>
        <w:keepLines/>
        <w:adjustRightInd w:val="0"/>
        <w:snapToGrid w:val="0"/>
        <w:spacing w:before="120" w:after="120" w:line="360" w:lineRule="auto"/>
        <w:jc w:val="left"/>
        <w:outlineLvl w:val="1"/>
        <w:rPr>
          <w:rFonts w:hint="eastAsia" w:ascii="仿宋" w:hAnsi="仿宋" w:eastAsia="仿宋" w:cs="仿宋"/>
          <w:b/>
          <w:color w:val="000000"/>
          <w:sz w:val="24"/>
        </w:rPr>
      </w:pPr>
      <w:bookmarkStart w:id="31" w:name="_Toc207612723"/>
      <w:r>
        <w:rPr>
          <w:rFonts w:hint="eastAsia" w:ascii="仿宋" w:hAnsi="仿宋" w:eastAsia="仿宋" w:cs="仿宋"/>
          <w:b/>
          <w:color w:val="000000"/>
          <w:sz w:val="24"/>
        </w:rPr>
        <w:t>六、投标文件的递交</w:t>
      </w:r>
      <w:bookmarkEnd w:id="29"/>
      <w:bookmarkEnd w:id="30"/>
      <w:bookmarkEnd w:id="31"/>
      <w:bookmarkStart w:id="41" w:name="_GoBack"/>
      <w:bookmarkEnd w:id="41"/>
    </w:p>
    <w:p w14:paraId="501284B5">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6.1本项目采用电子投标，投标文件递交截止时间（投标截止时间，下同）：</w:t>
      </w:r>
      <w:r>
        <w:rPr>
          <w:rFonts w:hint="eastAsia" w:ascii="仿宋" w:hAnsi="仿宋" w:eastAsia="仿宋" w:cs="仿宋"/>
          <w:b/>
          <w:color w:val="000000"/>
          <w:sz w:val="24"/>
          <w:szCs w:val="24"/>
          <w:u w:val="single"/>
        </w:rPr>
        <w:t>2025年09月2</w:t>
      </w:r>
      <w:r>
        <w:rPr>
          <w:rFonts w:hint="eastAsia" w:ascii="仿宋" w:hAnsi="仿宋" w:eastAsia="仿宋" w:cs="仿宋"/>
          <w:b/>
          <w:color w:val="000000"/>
          <w:sz w:val="24"/>
          <w:szCs w:val="24"/>
          <w:u w:val="single"/>
          <w:lang w:val="en-US" w:eastAsia="zh-CN"/>
        </w:rPr>
        <w:t>3</w:t>
      </w:r>
      <w:r>
        <w:rPr>
          <w:rFonts w:hint="eastAsia" w:ascii="仿宋" w:hAnsi="仿宋" w:eastAsia="仿宋" w:cs="仿宋"/>
          <w:b/>
          <w:color w:val="000000"/>
          <w:sz w:val="24"/>
          <w:szCs w:val="24"/>
          <w:u w:val="single"/>
        </w:rPr>
        <w:t>日09时30分</w:t>
      </w:r>
      <w:r>
        <w:rPr>
          <w:rFonts w:hint="eastAsia" w:ascii="仿宋" w:hAnsi="仿宋" w:eastAsia="仿宋" w:cs="仿宋"/>
          <w:color w:val="000000"/>
          <w:sz w:val="24"/>
          <w:szCs w:val="24"/>
        </w:rPr>
        <w:t>（即投标截止时间）。</w:t>
      </w:r>
    </w:p>
    <w:p w14:paraId="7179EEF0">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6.2电子投标：投标人通过诚E招电子采购交易平台投标客户端软件编制生成电子投标文件，并通过诚E招电子采购交易平台递交。</w:t>
      </w:r>
    </w:p>
    <w:p w14:paraId="6DD06F8F">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6.3投标人须在投标截止时间前递交电子版，同时发送word文件压缩加密电子版投标文件到邮箱liuhaom@gcbidding.com，本项目以诚E招电子采购交易平台提交的电子投标文件为准。</w:t>
      </w:r>
    </w:p>
    <w:p w14:paraId="7054C33F">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6.4出现以下情形之一时，为无效投标：</w:t>
      </w:r>
    </w:p>
    <w:p w14:paraId="7ED3434A">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6.4.1  逾期提交；</w:t>
      </w:r>
    </w:p>
    <w:p w14:paraId="09C97462">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6.4.2  未提交诚E招电子采购交易平台的电子投标文件；</w:t>
      </w:r>
    </w:p>
    <w:p w14:paraId="108288E1">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6.4.3  未按照招标公告要求获取招标文件的。</w:t>
      </w:r>
    </w:p>
    <w:p w14:paraId="7AC9D8D5">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6.5电子招标开标的异常处理：</w:t>
      </w:r>
    </w:p>
    <w:p w14:paraId="2C904CF4">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当电子投标文件出现投标异常时，应及时联系客服（电话：020-89524219）。若在投标截止时间之前仍未解决，投标人须提供在投标截止时间之前进行投标操作出现异常的证明材料，如不同操作步骤的系统界面的全幅截图，如后台确认为系统原因导致，则以投标人发送邮箱的电子版投标文件为准。</w:t>
      </w:r>
    </w:p>
    <w:p w14:paraId="36E503EF">
      <w:pPr>
        <w:keepNext/>
        <w:keepLines/>
        <w:adjustRightInd w:val="0"/>
        <w:snapToGrid w:val="0"/>
        <w:spacing w:before="120" w:after="120" w:line="360" w:lineRule="auto"/>
        <w:jc w:val="left"/>
        <w:outlineLvl w:val="1"/>
        <w:rPr>
          <w:rFonts w:hint="eastAsia" w:ascii="仿宋" w:hAnsi="仿宋" w:eastAsia="仿宋" w:cs="仿宋"/>
          <w:b/>
          <w:color w:val="000000"/>
          <w:sz w:val="24"/>
        </w:rPr>
      </w:pPr>
      <w:bookmarkStart w:id="32" w:name="_Toc207612724"/>
      <w:bookmarkStart w:id="33" w:name="_Toc76569301"/>
      <w:bookmarkStart w:id="34" w:name="_Toc3941"/>
      <w:r>
        <w:rPr>
          <w:rFonts w:hint="eastAsia" w:ascii="仿宋" w:hAnsi="仿宋" w:eastAsia="仿宋" w:cs="仿宋"/>
          <w:b/>
          <w:color w:val="000000"/>
          <w:sz w:val="24"/>
        </w:rPr>
        <w:t>七、发布公告的媒介</w:t>
      </w:r>
      <w:bookmarkEnd w:id="32"/>
      <w:bookmarkEnd w:id="33"/>
      <w:bookmarkEnd w:id="34"/>
    </w:p>
    <w:p w14:paraId="0AD4B2C2">
      <w:pPr>
        <w:spacing w:line="360"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本项目招标公告同时在</w:t>
      </w:r>
      <w:r>
        <w:rPr>
          <w:rFonts w:hint="eastAsia" w:ascii="仿宋" w:hAnsi="仿宋" w:eastAsia="仿宋" w:cs="仿宋"/>
          <w:color w:val="000000"/>
          <w:sz w:val="24"/>
          <w:szCs w:val="24"/>
          <w:u w:val="single"/>
        </w:rPr>
        <w:t>中国人寿保险（海外）股份有限公司官网（https://www.chinalife.com.hk/zh-hk/about-us/tender）、中国采购与招标网（http://www.chinabidding.com.cn/）、中国招标投标公共服务平台（http://www.cebpubservice.com）、金采网（http://www.cfcpn.com/）、诚E招电子采购交易平台（https://www.chengezhao.com/）</w:t>
      </w:r>
      <w:r>
        <w:rPr>
          <w:rFonts w:hint="eastAsia" w:ascii="仿宋" w:hAnsi="仿宋" w:eastAsia="仿宋" w:cs="仿宋"/>
          <w:color w:val="000000"/>
          <w:sz w:val="24"/>
          <w:szCs w:val="24"/>
        </w:rPr>
        <w:t>上发布，其他媒介转载无效。对于非法转载、篡改招标公告信息的组织或个人，招标人/招标代理机构保留追究其法律责任的权利。</w:t>
      </w:r>
    </w:p>
    <w:p w14:paraId="1CDA622B">
      <w:pPr>
        <w:keepNext/>
        <w:keepLines/>
        <w:adjustRightInd w:val="0"/>
        <w:snapToGrid w:val="0"/>
        <w:spacing w:before="120" w:after="120" w:line="360" w:lineRule="auto"/>
        <w:jc w:val="left"/>
        <w:outlineLvl w:val="1"/>
        <w:rPr>
          <w:rFonts w:hint="eastAsia" w:ascii="仿宋" w:hAnsi="仿宋" w:eastAsia="仿宋" w:cs="仿宋"/>
          <w:b/>
          <w:color w:val="000000"/>
          <w:sz w:val="24"/>
        </w:rPr>
      </w:pPr>
      <w:bookmarkStart w:id="35" w:name="_Toc7046"/>
      <w:bookmarkStart w:id="36" w:name="_Toc207612725"/>
      <w:bookmarkStart w:id="37" w:name="_Toc20415"/>
      <w:bookmarkStart w:id="38" w:name="_Toc24589"/>
      <w:bookmarkStart w:id="39" w:name="_Toc26408"/>
      <w:bookmarkStart w:id="40" w:name="_Toc76569302"/>
      <w:r>
        <w:rPr>
          <w:rFonts w:hint="eastAsia" w:ascii="仿宋" w:hAnsi="仿宋" w:eastAsia="仿宋" w:cs="仿宋"/>
          <w:b/>
          <w:color w:val="000000"/>
          <w:sz w:val="24"/>
        </w:rPr>
        <w:t>八、联系方式</w:t>
      </w:r>
      <w:bookmarkEnd w:id="35"/>
      <w:bookmarkEnd w:id="36"/>
      <w:bookmarkEnd w:id="37"/>
      <w:bookmarkEnd w:id="38"/>
      <w:bookmarkEnd w:id="39"/>
      <w:bookmarkEnd w:id="40"/>
    </w:p>
    <w:p w14:paraId="00F4CD1D">
      <w:pPr>
        <w:spacing w:line="288" w:lineRule="auto"/>
        <w:ind w:firstLine="482" w:firstLineChars="200"/>
        <w:textAlignment w:val="baseline"/>
        <w:rPr>
          <w:rFonts w:hint="eastAsia" w:ascii="仿宋" w:hAnsi="仿宋" w:eastAsia="仿宋" w:cs="仿宋"/>
          <w:b/>
          <w:color w:val="000000"/>
          <w:sz w:val="24"/>
          <w:szCs w:val="24"/>
        </w:rPr>
      </w:pPr>
      <w:r>
        <w:rPr>
          <w:rFonts w:hint="eastAsia" w:ascii="仿宋" w:hAnsi="仿宋" w:eastAsia="仿宋" w:cs="仿宋"/>
          <w:b/>
          <w:color w:val="000000"/>
          <w:sz w:val="24"/>
          <w:szCs w:val="24"/>
        </w:rPr>
        <w:t>招标人：中国人寿保险（海外）股份有限公司</w:t>
      </w:r>
    </w:p>
    <w:p w14:paraId="4A6D7B92">
      <w:pPr>
        <w:spacing w:line="288"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联系人及联系方式：杨工  </w:t>
      </w:r>
      <w:r>
        <w:rPr>
          <w:rFonts w:hint="eastAsia" w:ascii="仿宋" w:hAnsi="仿宋" w:eastAsia="仿宋" w:cs="仿宋"/>
          <w:sz w:val="24"/>
        </w:rPr>
        <w:t>0755-36838310</w:t>
      </w:r>
    </w:p>
    <w:p w14:paraId="652A660E">
      <w:pPr>
        <w:spacing w:line="288"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联系地址：深圳市福田区福田路24号海岸环庆大厦42楼</w:t>
      </w:r>
    </w:p>
    <w:p w14:paraId="269A2079">
      <w:pPr>
        <w:spacing w:line="288" w:lineRule="auto"/>
        <w:ind w:firstLine="482" w:firstLineChars="200"/>
        <w:textAlignment w:val="baseline"/>
        <w:rPr>
          <w:rFonts w:hint="eastAsia" w:ascii="仿宋" w:hAnsi="仿宋" w:eastAsia="仿宋" w:cs="仿宋"/>
          <w:b/>
          <w:color w:val="000000"/>
          <w:sz w:val="24"/>
          <w:szCs w:val="24"/>
        </w:rPr>
      </w:pPr>
      <w:r>
        <w:rPr>
          <w:rFonts w:hint="eastAsia" w:ascii="仿宋" w:hAnsi="仿宋" w:eastAsia="仿宋" w:cs="仿宋"/>
          <w:b/>
          <w:color w:val="000000"/>
          <w:sz w:val="24"/>
          <w:szCs w:val="24"/>
        </w:rPr>
        <w:t>招标代理机构：公诚管理咨询有限公司</w:t>
      </w:r>
    </w:p>
    <w:p w14:paraId="01DC7F54">
      <w:pPr>
        <w:spacing w:line="288"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地    址：深圳市福田区新闻路2号英龙商务中心33楼33E室</w:t>
      </w:r>
    </w:p>
    <w:p w14:paraId="030D63EE">
      <w:pPr>
        <w:spacing w:line="288"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项目负责人：刘浩明、金煜尧、孙婉超、马姗姗、陈泽斌、赵锐、宋晋刚、宗正月</w:t>
      </w:r>
    </w:p>
    <w:p w14:paraId="33BF4D99">
      <w:pPr>
        <w:spacing w:line="288"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电    话：13590459933、13928484064</w:t>
      </w:r>
    </w:p>
    <w:p w14:paraId="4D10B088">
      <w:pPr>
        <w:spacing w:line="288"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电子邮件：liuhaom@gcbidding.com</w:t>
      </w:r>
    </w:p>
    <w:p w14:paraId="14512E52">
      <w:pPr>
        <w:spacing w:line="288"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开 户 名：公诚管理咨询有限公司</w:t>
      </w:r>
    </w:p>
    <w:p w14:paraId="096ABC43">
      <w:pPr>
        <w:spacing w:line="288"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 xml:space="preserve">开户银行：中信银行广州花园支行 </w:t>
      </w:r>
    </w:p>
    <w:p w14:paraId="5EC4F9DB">
      <w:pPr>
        <w:spacing w:line="288" w:lineRule="auto"/>
        <w:ind w:firstLine="480" w:firstLineChars="200"/>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账    号：</w:t>
      </w:r>
      <w:r>
        <w:rPr>
          <w:rFonts w:ascii="仿宋" w:hAnsi="仿宋" w:eastAsia="仿宋" w:cs="仿宋"/>
          <w:color w:val="000000"/>
          <w:sz w:val="24"/>
          <w:szCs w:val="24"/>
        </w:rPr>
        <w:t>3110910037672522576</w:t>
      </w:r>
      <w:r>
        <w:rPr>
          <w:rFonts w:hint="eastAsia" w:ascii="仿宋" w:hAnsi="仿宋" w:eastAsia="仿宋" w:cs="仿宋"/>
          <w:color w:val="000000"/>
          <w:sz w:val="24"/>
          <w:szCs w:val="24"/>
        </w:rPr>
        <w:t xml:space="preserve">  (账号仅对应本项目)</w:t>
      </w:r>
    </w:p>
    <w:p w14:paraId="45B22425">
      <w:pPr>
        <w:spacing w:line="360" w:lineRule="auto"/>
        <w:ind w:firstLine="480" w:firstLineChars="200"/>
        <w:jc w:val="right"/>
        <w:textAlignment w:val="baseline"/>
        <w:rPr>
          <w:rFonts w:hint="eastAsia" w:ascii="仿宋" w:hAnsi="仿宋" w:eastAsia="仿宋" w:cs="仿宋"/>
          <w:color w:val="000000"/>
          <w:sz w:val="24"/>
          <w:szCs w:val="24"/>
        </w:rPr>
      </w:pPr>
    </w:p>
    <w:p w14:paraId="4475F97E">
      <w:pPr>
        <w:spacing w:line="360" w:lineRule="auto"/>
        <w:ind w:firstLine="480" w:firstLineChars="200"/>
        <w:jc w:val="right"/>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招标人：中国人寿保险（海外）股份有限公司</w:t>
      </w:r>
    </w:p>
    <w:p w14:paraId="7CF137BA">
      <w:pPr>
        <w:spacing w:line="360" w:lineRule="auto"/>
        <w:ind w:firstLine="480" w:firstLineChars="200"/>
        <w:jc w:val="right"/>
        <w:textAlignment w:val="baseline"/>
        <w:rPr>
          <w:rFonts w:hint="eastAsia" w:ascii="仿宋" w:hAnsi="仿宋" w:eastAsia="仿宋" w:cs="仿宋"/>
          <w:color w:val="000000"/>
          <w:sz w:val="24"/>
          <w:szCs w:val="24"/>
        </w:rPr>
      </w:pPr>
      <w:r>
        <w:rPr>
          <w:rFonts w:hint="eastAsia" w:ascii="仿宋" w:hAnsi="仿宋" w:eastAsia="仿宋" w:cs="仿宋"/>
          <w:color w:val="000000"/>
          <w:sz w:val="24"/>
          <w:szCs w:val="24"/>
        </w:rPr>
        <w:t>招标代理机构：公诚管理咨询有限公司</w:t>
      </w:r>
    </w:p>
    <w:p w14:paraId="675FBA60">
      <w:pPr>
        <w:spacing w:line="360" w:lineRule="auto"/>
        <w:ind w:firstLine="480" w:firstLineChars="200"/>
        <w:jc w:val="right"/>
        <w:textAlignment w:val="baseline"/>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sz w:val="24"/>
          <w:szCs w:val="24"/>
        </w:rPr>
        <w:t>2025年09月02日</w:t>
      </w:r>
    </w:p>
    <w:sectPr>
      <w:pgSz w:w="11906" w:h="16838"/>
      <w:pgMar w:top="1440" w:right="1133" w:bottom="1440" w:left="127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12" w:lineRule="auto"/>
      </w:pPr>
      <w:r>
        <w:separator/>
      </w:r>
    </w:p>
  </w:footnote>
  <w:footnote w:type="continuationSeparator" w:id="1">
    <w:p>
      <w:pPr>
        <w:spacing w:line="312"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071"/>
    <w:rsid w:val="00060071"/>
    <w:rsid w:val="00097665"/>
    <w:rsid w:val="0042037E"/>
    <w:rsid w:val="00710BA2"/>
    <w:rsid w:val="008E42E0"/>
    <w:rsid w:val="00A16E01"/>
    <w:rsid w:val="00A610F1"/>
    <w:rsid w:val="5CBE5B66"/>
    <w:rsid w:val="69E231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12" w:lineRule="auto"/>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6" w:lineRule="auto"/>
      <w:jc w:val="center"/>
      <w:outlineLvl w:val="0"/>
    </w:pPr>
    <w:rPr>
      <w:rFonts w:eastAsia="仿宋"/>
      <w:b/>
      <w:kern w:val="44"/>
      <w:sz w:val="28"/>
    </w:rPr>
  </w:style>
  <w:style w:type="paragraph" w:styleId="3">
    <w:name w:val="heading 2"/>
    <w:basedOn w:val="1"/>
    <w:next w:val="1"/>
    <w:qFormat/>
    <w:uiPriority w:val="0"/>
    <w:pPr>
      <w:keepNext/>
      <w:keepLines/>
      <w:adjustRightInd w:val="0"/>
      <w:snapToGrid w:val="0"/>
      <w:spacing w:before="120" w:after="120" w:line="360" w:lineRule="auto"/>
      <w:jc w:val="left"/>
      <w:outlineLvl w:val="1"/>
    </w:pPr>
    <w:rPr>
      <w:rFonts w:ascii="宋体" w:hAnsi="Arial" w:eastAsia="仿宋"/>
      <w:b/>
      <w:sz w:val="2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8"/>
    <w:qFormat/>
    <w:uiPriority w:val="0"/>
    <w:pPr>
      <w:tabs>
        <w:tab w:val="center" w:pos="4153"/>
        <w:tab w:val="right" w:pos="8306"/>
      </w:tabs>
      <w:snapToGrid w:val="0"/>
      <w:spacing w:line="240" w:lineRule="auto"/>
      <w:jc w:val="center"/>
    </w:pPr>
    <w:rPr>
      <w:sz w:val="18"/>
      <w:szCs w:val="18"/>
    </w:rPr>
  </w:style>
  <w:style w:type="character" w:customStyle="1" w:styleId="8">
    <w:name w:val="页眉 字符"/>
    <w:basedOn w:val="7"/>
    <w:link w:val="5"/>
    <w:qFormat/>
    <w:uiPriority w:val="0"/>
    <w:rPr>
      <w:rFonts w:ascii="Times New Roman" w:hAnsi="Times New Roman" w:eastAsia="宋体" w:cs="Times New Roman"/>
      <w:kern w:val="2"/>
      <w:sz w:val="18"/>
      <w:szCs w:val="18"/>
    </w:rPr>
  </w:style>
  <w:style w:type="character" w:customStyle="1" w:styleId="9">
    <w:name w:val="页脚 字符"/>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3865</Words>
  <Characters>4466</Characters>
  <Lines>32</Lines>
  <Paragraphs>9</Paragraphs>
  <TotalTime>6</TotalTime>
  <ScaleCrop>false</ScaleCrop>
  <LinksUpToDate>false</LinksUpToDate>
  <CharactersWithSpaces>4497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2025-08-31T03:39:00Z</dcterms:created>
  <dc:creator>yangshuai</dc:creator>
  <cp:lastModifiedBy>@Young</cp:lastModifiedBy>
  <dcterms:modified xsi:type="dcterms:W3CDTF">2025-09-01T05:44:00Z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eyJoZGlkIjoiZmViZTQ5NmQxNjE2MDZmMjA4M2Y5YjRiOGFjOTBlZDgiLCJ1c2VySWQiOiIyNjU2MDA2NzIifQ==</vt:lpwstr>
  </property>
  <property fmtid="{D5CDD505-2E9C-101B-9397-08002B2CF9AE}" pid="4" name="ICV">
    <vt:lpwstr>11A203C8323740338E11B6C299CBD677_12</vt:lpwstr>
  </property>
</Properties>
</file>